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4920A5" w:rsidP="00424396">
      <w:pPr>
        <w:spacing w:line="234" w:lineRule="auto"/>
        <w:ind w:left="1843" w:right="150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9D0009" w:rsidRPr="00424396" w:rsidRDefault="00ED0E5E" w:rsidP="00424396">
      <w:pPr>
        <w:spacing w:line="234" w:lineRule="auto"/>
        <w:ind w:left="1843" w:right="1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396">
        <w:rPr>
          <w:rFonts w:ascii="Times New Roman" w:eastAsia="Times New Roman" w:hAnsi="Times New Roman"/>
          <w:b/>
          <w:sz w:val="28"/>
          <w:szCs w:val="28"/>
        </w:rPr>
        <w:t>ПОЯСНЮ</w:t>
      </w:r>
      <w:r w:rsidR="004A1F93" w:rsidRPr="00424396">
        <w:rPr>
          <w:rFonts w:ascii="Times New Roman" w:eastAsia="Times New Roman" w:hAnsi="Times New Roman"/>
          <w:b/>
          <w:sz w:val="28"/>
          <w:szCs w:val="28"/>
        </w:rPr>
        <w:t>ЮЧА</w:t>
      </w:r>
      <w:r w:rsidRPr="00424396">
        <w:rPr>
          <w:rFonts w:ascii="Times New Roman" w:eastAsia="Times New Roman" w:hAnsi="Times New Roman"/>
          <w:b/>
          <w:sz w:val="28"/>
          <w:szCs w:val="28"/>
        </w:rPr>
        <w:t xml:space="preserve"> ЗАПИСКА</w:t>
      </w:r>
    </w:p>
    <w:p w:rsidR="004920A5" w:rsidRDefault="00ED0E5E" w:rsidP="000D0FA7">
      <w:pPr>
        <w:spacing w:line="234" w:lineRule="auto"/>
        <w:ind w:left="1843" w:right="1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396">
        <w:rPr>
          <w:rFonts w:ascii="Times New Roman" w:eastAsia="Times New Roman" w:hAnsi="Times New Roman"/>
          <w:b/>
          <w:sz w:val="28"/>
          <w:szCs w:val="28"/>
        </w:rPr>
        <w:t>до  бюджету</w:t>
      </w:r>
      <w:r w:rsidR="00ED033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D0009" w:rsidRPr="00424396">
        <w:rPr>
          <w:rFonts w:ascii="Times New Roman" w:eastAsia="Times New Roman" w:hAnsi="Times New Roman"/>
          <w:b/>
          <w:sz w:val="28"/>
          <w:szCs w:val="28"/>
        </w:rPr>
        <w:t>Гніздичівської</w:t>
      </w:r>
      <w:proofErr w:type="spellEnd"/>
      <w:r w:rsidR="009D0009" w:rsidRPr="00424396">
        <w:rPr>
          <w:rFonts w:ascii="Times New Roman" w:eastAsia="Times New Roman" w:hAnsi="Times New Roman"/>
          <w:b/>
          <w:sz w:val="28"/>
          <w:szCs w:val="28"/>
        </w:rPr>
        <w:t xml:space="preserve"> селищної ради</w:t>
      </w:r>
    </w:p>
    <w:p w:rsidR="00854580" w:rsidRPr="00424396" w:rsidRDefault="008B5DA8" w:rsidP="000D0FA7">
      <w:pPr>
        <w:spacing w:line="234" w:lineRule="auto"/>
        <w:ind w:left="1843" w:right="150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</w:t>
      </w:r>
      <w:r w:rsidR="006D6A2C">
        <w:rPr>
          <w:rFonts w:ascii="Times New Roman" w:eastAsia="Times New Roman" w:hAnsi="Times New Roman"/>
          <w:b/>
          <w:sz w:val="28"/>
          <w:szCs w:val="28"/>
        </w:rPr>
        <w:t>2</w:t>
      </w:r>
      <w:r w:rsidR="003B6FCB">
        <w:rPr>
          <w:rFonts w:ascii="Times New Roman" w:eastAsia="Times New Roman" w:hAnsi="Times New Roman"/>
          <w:b/>
          <w:sz w:val="28"/>
          <w:szCs w:val="28"/>
        </w:rPr>
        <w:t xml:space="preserve">3 </w:t>
      </w:r>
      <w:r w:rsidR="009D0009" w:rsidRPr="00424396">
        <w:rPr>
          <w:rFonts w:ascii="Times New Roman" w:eastAsia="Times New Roman" w:hAnsi="Times New Roman"/>
          <w:b/>
          <w:sz w:val="28"/>
          <w:szCs w:val="28"/>
        </w:rPr>
        <w:t>р</w:t>
      </w:r>
      <w:r w:rsidR="00ED0E5E" w:rsidRPr="00424396">
        <w:rPr>
          <w:rFonts w:ascii="Times New Roman" w:eastAsia="Times New Roman" w:hAnsi="Times New Roman"/>
          <w:b/>
          <w:sz w:val="28"/>
          <w:szCs w:val="28"/>
        </w:rPr>
        <w:t>ік</w:t>
      </w:r>
    </w:p>
    <w:p w:rsidR="00854580" w:rsidRDefault="00854580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B6FCB" w:rsidRPr="003B6FCB" w:rsidRDefault="003B6FCB" w:rsidP="003B6F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Формування  бюджету </w:t>
      </w:r>
      <w:proofErr w:type="spellStart"/>
      <w:r w:rsidRPr="003B6FCB">
        <w:rPr>
          <w:rFonts w:ascii="Times New Roman" w:eastAsia="Times New Roman" w:hAnsi="Times New Roman" w:cs="Times New Roman"/>
          <w:sz w:val="28"/>
          <w:szCs w:val="28"/>
        </w:rPr>
        <w:t>Гніздичівської</w:t>
      </w:r>
      <w:proofErr w:type="spellEnd"/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селищної територіальної громади на 2023 рік, як і усієї України в цілому, здійснюється в умовах воєнного стану. </w:t>
      </w:r>
    </w:p>
    <w:p w:rsidR="007A76D3" w:rsidRDefault="003B6FCB" w:rsidP="003B6FCB">
      <w:pPr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>Відповідно до частини першої статті 75 Бюджетного кодексу України  місцев</w:t>
      </w:r>
      <w:r w:rsidR="00A5764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бюджет на 2023 рік має ґрунтуватися на показниках, визначених у прогнозі місцевого бюджету, схваленому у 2022 році.</w:t>
      </w:r>
    </w:p>
    <w:p w:rsidR="003B6FCB" w:rsidRPr="003B6FCB" w:rsidRDefault="00A674AE" w:rsidP="003B6FCB">
      <w:pPr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B6FCB" w:rsidRPr="003B6FCB">
        <w:rPr>
          <w:rFonts w:ascii="Times New Roman" w:eastAsia="Times New Roman" w:hAnsi="Times New Roman" w:cs="Times New Roman"/>
          <w:sz w:val="28"/>
          <w:szCs w:val="28"/>
        </w:rPr>
        <w:t xml:space="preserve">юджет </w:t>
      </w:r>
      <w:proofErr w:type="spellStart"/>
      <w:r w:rsidR="003B6FCB" w:rsidRPr="003B6FCB">
        <w:rPr>
          <w:rFonts w:ascii="Times New Roman" w:eastAsia="Times New Roman" w:hAnsi="Times New Roman" w:cs="Times New Roman"/>
          <w:sz w:val="28"/>
          <w:szCs w:val="28"/>
        </w:rPr>
        <w:t>Гнізичівської</w:t>
      </w:r>
      <w:proofErr w:type="spellEnd"/>
      <w:r w:rsidR="003B6FCB" w:rsidRPr="003B6FCB">
        <w:rPr>
          <w:rFonts w:ascii="Times New Roman" w:eastAsia="Times New Roman" w:hAnsi="Times New Roman" w:cs="Times New Roman"/>
          <w:sz w:val="28"/>
          <w:szCs w:val="28"/>
        </w:rPr>
        <w:t xml:space="preserve"> ТГ на 2023 рік розроблено на основі положень:</w:t>
      </w:r>
    </w:p>
    <w:p w:rsidR="00744432" w:rsidRPr="003B6FCB" w:rsidRDefault="004920A5" w:rsidP="003B6FCB">
      <w:pPr>
        <w:numPr>
          <w:ilvl w:val="0"/>
          <w:numId w:val="15"/>
        </w:numPr>
        <w:tabs>
          <w:tab w:val="clear" w:pos="720"/>
          <w:tab w:val="num" w:pos="0"/>
        </w:tabs>
        <w:ind w:left="0" w:right="8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 Бюджетного кодексу України;</w:t>
      </w:r>
    </w:p>
    <w:p w:rsidR="00744432" w:rsidRPr="003B6FCB" w:rsidRDefault="004920A5" w:rsidP="003B6FCB">
      <w:pPr>
        <w:numPr>
          <w:ilvl w:val="0"/>
          <w:numId w:val="15"/>
        </w:numPr>
        <w:tabs>
          <w:tab w:val="clear" w:pos="720"/>
          <w:tab w:val="num" w:pos="0"/>
        </w:tabs>
        <w:ind w:left="0" w:right="8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 Податкового кодексу України; </w:t>
      </w:r>
    </w:p>
    <w:p w:rsidR="00744432" w:rsidRPr="003B6FCB" w:rsidRDefault="004920A5" w:rsidP="003B6FCB">
      <w:pPr>
        <w:numPr>
          <w:ilvl w:val="0"/>
          <w:numId w:val="15"/>
        </w:numPr>
        <w:tabs>
          <w:tab w:val="clear" w:pos="720"/>
          <w:tab w:val="num" w:pos="0"/>
        </w:tabs>
        <w:ind w:left="0" w:right="8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 Закону України «Про Державний бюджет України на 2023 рік»;</w:t>
      </w:r>
    </w:p>
    <w:p w:rsidR="00744432" w:rsidRPr="003B6FCB" w:rsidRDefault="004920A5" w:rsidP="003B6FCB">
      <w:pPr>
        <w:numPr>
          <w:ilvl w:val="0"/>
          <w:numId w:val="15"/>
        </w:numPr>
        <w:tabs>
          <w:tab w:val="clear" w:pos="720"/>
          <w:tab w:val="num" w:pos="0"/>
        </w:tabs>
        <w:ind w:left="0" w:right="8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 листа Міністерства фінансів України від 15.08.2022 № 05110-14-6/17891;</w:t>
      </w:r>
    </w:p>
    <w:p w:rsidR="00744432" w:rsidRPr="003B6FCB" w:rsidRDefault="004920A5" w:rsidP="003B6FCB">
      <w:pPr>
        <w:numPr>
          <w:ilvl w:val="0"/>
          <w:numId w:val="15"/>
        </w:numPr>
        <w:tabs>
          <w:tab w:val="clear" w:pos="720"/>
          <w:tab w:val="num" w:pos="0"/>
        </w:tabs>
        <w:ind w:left="0" w:right="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 інших законодавчих актів, що стосуються місцевих бюджетів та міжбюджетних відносин.</w:t>
      </w:r>
    </w:p>
    <w:p w:rsidR="003B6FCB" w:rsidRPr="003B6FCB" w:rsidRDefault="003B6FCB" w:rsidP="003B6F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Під час визначення показників 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Гніздичівської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ТГ на 2023 рік враховані наступні показники, визначені </w:t>
      </w:r>
      <w:proofErr w:type="spellStart"/>
      <w:r w:rsidRPr="003B6FCB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Закону та Основними прогнозними </w:t>
      </w:r>
      <w:proofErr w:type="spellStart"/>
      <w:r w:rsidRPr="003B6FCB">
        <w:rPr>
          <w:rFonts w:ascii="Times New Roman" w:eastAsia="Times New Roman" w:hAnsi="Times New Roman" w:cs="Times New Roman"/>
          <w:sz w:val="28"/>
          <w:szCs w:val="28"/>
        </w:rPr>
        <w:t>макропоказниками</w:t>
      </w:r>
      <w:proofErr w:type="spellEnd"/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економічного і соціального розвитку України на 2022 – 2023роки та окремими припущеннями, закладеними до прогнозних розрахунків, які наведені у листі Міністерства економіки України від 08.07.2022 № 3011-02/46349-03:</w:t>
      </w:r>
    </w:p>
    <w:p w:rsidR="003B6FCB" w:rsidRPr="003B6FCB" w:rsidRDefault="003B6FCB" w:rsidP="003B6F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proofErr w:type="spellStart"/>
      <w:r w:rsidRPr="003B6FCB">
        <w:rPr>
          <w:rFonts w:ascii="Times New Roman" w:eastAsia="Times New Roman" w:hAnsi="Times New Roman" w:cs="Times New Roman"/>
          <w:sz w:val="28"/>
          <w:szCs w:val="28"/>
        </w:rPr>
        <w:t>макропоказники</w:t>
      </w:r>
      <w:proofErr w:type="spellEnd"/>
      <w:r w:rsidRPr="003B6FCB">
        <w:rPr>
          <w:rFonts w:ascii="Times New Roman" w:eastAsia="Times New Roman" w:hAnsi="Times New Roman" w:cs="Times New Roman"/>
          <w:sz w:val="28"/>
          <w:szCs w:val="28"/>
        </w:rPr>
        <w:t xml:space="preserve"> економічного і соціального розвитку України у 2023 році: </w:t>
      </w:r>
    </w:p>
    <w:p w:rsidR="003B6FCB" w:rsidRPr="003F658C" w:rsidRDefault="003B6FCB" w:rsidP="003F658C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Індекс споживчих цін (грудень до грудня попереднього року), відсотки – 130,0 %;</w:t>
      </w:r>
    </w:p>
    <w:p w:rsidR="003B6FCB" w:rsidRPr="003F658C" w:rsidRDefault="003B6FCB" w:rsidP="003F658C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З 01 січня 2023 року прожитковий мінімум на одну особу в розрахунку на місяць становитиме 2 589 гривень; для основних соціальних і демографічних груп населення становитиме:</w:t>
      </w:r>
    </w:p>
    <w:p w:rsidR="003B6FCB" w:rsidRPr="003F658C" w:rsidRDefault="003B6FCB" w:rsidP="003F658C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дітей віком до 6 років – 2 272 гривні;</w:t>
      </w:r>
    </w:p>
    <w:p w:rsidR="003B6FCB" w:rsidRPr="003F658C" w:rsidRDefault="003B6FCB" w:rsidP="003F658C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 xml:space="preserve">дітей віком від 6 до 18 років – 2 833 гривні; </w:t>
      </w:r>
    </w:p>
    <w:p w:rsidR="003B6FCB" w:rsidRPr="003F658C" w:rsidRDefault="003B6FCB" w:rsidP="003F658C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 xml:space="preserve">працездатних осіб – 2 684 гривні; </w:t>
      </w:r>
    </w:p>
    <w:p w:rsidR="003B6FCB" w:rsidRPr="003F658C" w:rsidRDefault="003B6FCB" w:rsidP="003F658C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 xml:space="preserve">осіб, які втратили працездатність, – 2 093 гривні. </w:t>
      </w:r>
    </w:p>
    <w:p w:rsidR="003B6FCB" w:rsidRPr="003F658C" w:rsidRDefault="003B6FCB" w:rsidP="003F658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З 01 січня 2023 року мінімальна заробітна плата становитиме:</w:t>
      </w:r>
    </w:p>
    <w:p w:rsidR="003B6FCB" w:rsidRPr="003F658C" w:rsidRDefault="003B6FCB" w:rsidP="003F658C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у місячному розмірі - 6 700 гривень;</w:t>
      </w:r>
    </w:p>
    <w:p w:rsidR="003B6FCB" w:rsidRPr="003F658C" w:rsidRDefault="003B6FCB" w:rsidP="003F658C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у погодинному розмірі – 40,46 гривні.</w:t>
      </w:r>
    </w:p>
    <w:p w:rsidR="007A76D3" w:rsidRPr="003F658C" w:rsidRDefault="003B6FCB" w:rsidP="003F658C">
      <w:pPr>
        <w:pStyle w:val="a3"/>
        <w:numPr>
          <w:ilvl w:val="0"/>
          <w:numId w:val="25"/>
        </w:numPr>
        <w:tabs>
          <w:tab w:val="left" w:pos="993"/>
        </w:tabs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sz w:val="28"/>
          <w:szCs w:val="28"/>
        </w:rPr>
        <w:t>З 01 січня 2023 року посадовий оклад працівника І тарифного розряду Єдиної тарифної сітки становитиме 2 893 гривні.</w:t>
      </w:r>
    </w:p>
    <w:p w:rsidR="007A76D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цілому обсяг бюджету </w:t>
      </w:r>
      <w:proofErr w:type="spellStart"/>
      <w:r>
        <w:rPr>
          <w:sz w:val="28"/>
          <w:szCs w:val="28"/>
        </w:rPr>
        <w:t>Гніздичівської</w:t>
      </w:r>
      <w:proofErr w:type="spellEnd"/>
      <w:r>
        <w:rPr>
          <w:sz w:val="28"/>
          <w:szCs w:val="28"/>
        </w:rPr>
        <w:t xml:space="preserve"> селищної  територіальної громади на 2023 рік визначено за:</w:t>
      </w:r>
    </w:p>
    <w:p w:rsidR="007A76D3" w:rsidRDefault="007A76D3" w:rsidP="003F658C">
      <w:pPr>
        <w:pStyle w:val="aa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доходами в сумі 61140,3 тис. </w:t>
      </w:r>
      <w:r w:rsidR="003F658C">
        <w:rPr>
          <w:sz w:val="28"/>
          <w:szCs w:val="28"/>
        </w:rPr>
        <w:t>грн.</w:t>
      </w:r>
      <w:r>
        <w:rPr>
          <w:sz w:val="28"/>
          <w:szCs w:val="28"/>
        </w:rPr>
        <w:t>, у тому числі загальний фонд – 59831,5 тис. </w:t>
      </w:r>
      <w:r w:rsidR="003F658C">
        <w:rPr>
          <w:sz w:val="28"/>
          <w:szCs w:val="28"/>
        </w:rPr>
        <w:t>грн.</w:t>
      </w:r>
      <w:r>
        <w:rPr>
          <w:sz w:val="28"/>
          <w:szCs w:val="28"/>
        </w:rPr>
        <w:t>, спеціальний – 1 308,8 тис. </w:t>
      </w:r>
      <w:r w:rsidR="003F658C">
        <w:rPr>
          <w:sz w:val="28"/>
          <w:szCs w:val="28"/>
        </w:rPr>
        <w:t>грн.</w:t>
      </w:r>
      <w:r>
        <w:rPr>
          <w:sz w:val="28"/>
          <w:szCs w:val="28"/>
        </w:rPr>
        <w:t>;</w:t>
      </w:r>
    </w:p>
    <w:p w:rsidR="007A76D3" w:rsidRDefault="007A76D3" w:rsidP="003F658C">
      <w:pPr>
        <w:pStyle w:val="aa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видатками в сумі 61140,3тис. </w:t>
      </w:r>
      <w:r w:rsidR="003F658C">
        <w:rPr>
          <w:sz w:val="28"/>
          <w:szCs w:val="28"/>
        </w:rPr>
        <w:t>грн.</w:t>
      </w:r>
      <w:r>
        <w:rPr>
          <w:sz w:val="28"/>
          <w:szCs w:val="28"/>
        </w:rPr>
        <w:t>, у тому числі загальний фонд –   59681,5 тис. </w:t>
      </w:r>
      <w:r w:rsidR="003F658C">
        <w:rPr>
          <w:sz w:val="28"/>
          <w:szCs w:val="28"/>
        </w:rPr>
        <w:t>грн.</w:t>
      </w:r>
      <w:r>
        <w:rPr>
          <w:sz w:val="28"/>
          <w:szCs w:val="28"/>
        </w:rPr>
        <w:t>, сп</w:t>
      </w:r>
      <w:r w:rsidR="003F658C">
        <w:rPr>
          <w:sz w:val="28"/>
          <w:szCs w:val="28"/>
        </w:rPr>
        <w:t>еціальний – 1 458,8 тис. грн.</w:t>
      </w:r>
      <w:r>
        <w:rPr>
          <w:sz w:val="28"/>
          <w:szCs w:val="28"/>
        </w:rPr>
        <w:t>, в тому числі бюджет розвитку – 150,0 тис.</w:t>
      </w:r>
      <w:r w:rsidR="003F658C">
        <w:rPr>
          <w:sz w:val="28"/>
          <w:szCs w:val="28"/>
        </w:rPr>
        <w:t xml:space="preserve"> г</w:t>
      </w:r>
      <w:r>
        <w:rPr>
          <w:sz w:val="28"/>
          <w:szCs w:val="28"/>
        </w:rPr>
        <w:t>рн.</w:t>
      </w:r>
      <w:r w:rsidR="003F658C">
        <w:rPr>
          <w:sz w:val="28"/>
          <w:szCs w:val="28"/>
        </w:rPr>
        <w:t>.</w:t>
      </w:r>
    </w:p>
    <w:p w:rsidR="007A76D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F658C">
        <w:rPr>
          <w:sz w:val="28"/>
          <w:szCs w:val="28"/>
        </w:rPr>
        <w:t xml:space="preserve"> бюджет</w:t>
      </w:r>
      <w:r w:rsidR="00A57645">
        <w:rPr>
          <w:sz w:val="28"/>
          <w:szCs w:val="28"/>
        </w:rPr>
        <w:t>і</w:t>
      </w:r>
      <w:r>
        <w:rPr>
          <w:sz w:val="28"/>
          <w:szCs w:val="28"/>
        </w:rPr>
        <w:t xml:space="preserve"> селищної</w:t>
      </w:r>
      <w:r w:rsidR="003F658C">
        <w:rPr>
          <w:sz w:val="28"/>
          <w:szCs w:val="28"/>
        </w:rPr>
        <w:t xml:space="preserve"> територіальної громади на 2023</w:t>
      </w:r>
      <w:r>
        <w:rPr>
          <w:sz w:val="28"/>
          <w:szCs w:val="28"/>
        </w:rPr>
        <w:t xml:space="preserve"> рік передбачено видатки на утримання бюджетних установ, соціальні програми та цільові видатки.</w:t>
      </w:r>
    </w:p>
    <w:p w:rsidR="007A76D3" w:rsidRDefault="007A76D3" w:rsidP="007A76D3">
      <w:pPr>
        <w:spacing w:line="0" w:lineRule="atLeast"/>
        <w:ind w:left="39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6D53" w:rsidRDefault="00346D53" w:rsidP="00346D53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ДОХОДИ</w:t>
      </w:r>
      <w:r w:rsidR="000E68A9">
        <w:rPr>
          <w:rFonts w:ascii="Times New Roman" w:eastAsia="Times New Roman" w:hAnsi="Times New Roman"/>
          <w:b/>
          <w:sz w:val="32"/>
          <w:szCs w:val="32"/>
        </w:rPr>
        <w:t xml:space="preserve"> СЕЛИЩНОГО БЮДЖЕТУ</w:t>
      </w:r>
    </w:p>
    <w:p w:rsidR="00346D53" w:rsidRDefault="00346D53" w:rsidP="007A76D3">
      <w:pPr>
        <w:spacing w:line="0" w:lineRule="atLeast"/>
        <w:ind w:left="39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76D3" w:rsidRDefault="007A76D3" w:rsidP="007A76D3">
      <w:pPr>
        <w:spacing w:line="13" w:lineRule="exact"/>
        <w:jc w:val="both"/>
        <w:rPr>
          <w:rFonts w:ascii="Symbol" w:eastAsia="Symbol" w:hAnsi="Symbol"/>
          <w:sz w:val="28"/>
          <w:szCs w:val="28"/>
        </w:rPr>
      </w:pPr>
    </w:p>
    <w:p w:rsidR="007A76D3" w:rsidRDefault="007A76D3" w:rsidP="00EF4290">
      <w:pPr>
        <w:pStyle w:val="2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Дохідна  </w:t>
      </w:r>
      <w:proofErr w:type="spellStart"/>
      <w:r>
        <w:rPr>
          <w:color w:val="000000"/>
          <w:szCs w:val="28"/>
        </w:rPr>
        <w:t>частинаселищного</w:t>
      </w:r>
      <w:proofErr w:type="spellEnd"/>
      <w:r>
        <w:rPr>
          <w:color w:val="000000"/>
          <w:szCs w:val="28"/>
        </w:rPr>
        <w:t xml:space="preserve"> бюджету по загальному фонду  затверджена в сумі 61140,3 </w:t>
      </w:r>
      <w:proofErr w:type="spellStart"/>
      <w:r>
        <w:rPr>
          <w:color w:val="000000"/>
          <w:szCs w:val="28"/>
        </w:rPr>
        <w:t>тис.грн</w:t>
      </w:r>
      <w:proofErr w:type="spellEnd"/>
      <w:r>
        <w:rPr>
          <w:color w:val="000000"/>
          <w:szCs w:val="28"/>
        </w:rPr>
        <w:t xml:space="preserve">., в тому числі доходів (без урахування трансфертів) –  33 700,0 </w:t>
      </w:r>
      <w:proofErr w:type="spellStart"/>
      <w:r>
        <w:rPr>
          <w:color w:val="000000"/>
          <w:szCs w:val="28"/>
        </w:rPr>
        <w:t>тис.грн</w:t>
      </w:r>
      <w:proofErr w:type="spellEnd"/>
      <w:r>
        <w:rPr>
          <w:color w:val="000000"/>
          <w:szCs w:val="28"/>
        </w:rPr>
        <w:t>.</w:t>
      </w:r>
      <w:r w:rsidR="00346D53">
        <w:rPr>
          <w:color w:val="000000"/>
          <w:szCs w:val="28"/>
        </w:rPr>
        <w:t>.</w:t>
      </w:r>
    </w:p>
    <w:p w:rsidR="000F7444" w:rsidRPr="000F7444" w:rsidRDefault="000F7444" w:rsidP="000F7444">
      <w:pPr>
        <w:pStyle w:val="2"/>
        <w:ind w:firstLine="720"/>
        <w:jc w:val="center"/>
        <w:rPr>
          <w:color w:val="000000"/>
          <w:sz w:val="32"/>
          <w:szCs w:val="32"/>
          <w:lang w:val="ru-RU"/>
        </w:rPr>
      </w:pPr>
      <w:r w:rsidRPr="000F7444">
        <w:rPr>
          <w:b/>
          <w:bCs/>
          <w:color w:val="000000"/>
          <w:sz w:val="32"/>
          <w:szCs w:val="32"/>
        </w:rPr>
        <w:t>Структура загального фонду бюджету (без урахування міжбюджетних трансфертів)</w:t>
      </w:r>
    </w:p>
    <w:p w:rsidR="000F7444" w:rsidRPr="000F7444" w:rsidRDefault="000F7444" w:rsidP="000F7444">
      <w:pPr>
        <w:pStyle w:val="2"/>
        <w:ind w:firstLine="720"/>
        <w:jc w:val="center"/>
        <w:rPr>
          <w:color w:val="000000"/>
          <w:sz w:val="32"/>
          <w:szCs w:val="32"/>
          <w:lang w:val="ru-RU"/>
        </w:rPr>
      </w:pPr>
    </w:p>
    <w:p w:rsidR="000F7444" w:rsidRDefault="000F7444" w:rsidP="000F7444">
      <w:pPr>
        <w:pStyle w:val="2"/>
        <w:jc w:val="both"/>
        <w:rPr>
          <w:color w:val="000000"/>
          <w:szCs w:val="28"/>
        </w:rPr>
      </w:pPr>
      <w:r w:rsidRPr="000F7444">
        <w:rPr>
          <w:noProof/>
          <w:color w:val="000000"/>
          <w:szCs w:val="28"/>
          <w:lang w:eastAsia="uk-UA"/>
        </w:rPr>
        <w:drawing>
          <wp:inline distT="0" distB="0" distL="0" distR="0">
            <wp:extent cx="6480313" cy="3681454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199CC80-C0DC-063B-B745-D4C56C7535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76D3" w:rsidRDefault="007A76D3" w:rsidP="00EF4290">
      <w:pPr>
        <w:spacing w:line="16" w:lineRule="exact"/>
        <w:ind w:firstLine="720"/>
        <w:jc w:val="both"/>
        <w:rPr>
          <w:rFonts w:ascii="Symbol" w:eastAsia="Symbol" w:hAnsi="Symbol"/>
          <w:sz w:val="28"/>
          <w:szCs w:val="28"/>
        </w:rPr>
      </w:pPr>
    </w:p>
    <w:p w:rsidR="007A76D3" w:rsidRDefault="007A76D3" w:rsidP="00EF4290">
      <w:pPr>
        <w:spacing w:line="15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76D3" w:rsidRDefault="007A76D3" w:rsidP="00EF4290">
      <w:pPr>
        <w:spacing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Основними складовими власної дохідної частини  загального фонду є податок та збір на доходи фізичних осіб, що становить  58,2 % усіх надходжень до загального фонду,  податок на майно – 25,9 %, єдиний податок –12,8%, неподаткові  надходження  - 1,8 %  від  власних доходів загального фонду 2023 року.</w:t>
      </w:r>
    </w:p>
    <w:p w:rsidR="007A76D3" w:rsidRDefault="007A76D3" w:rsidP="00EF4290">
      <w:pPr>
        <w:spacing w:line="19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76D3" w:rsidRDefault="007A76D3" w:rsidP="00EF4290">
      <w:pPr>
        <w:spacing w:line="232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та основним джерелом надходжень загального фонду є податок та збір на доходи фізичних осіб, який </w:t>
      </w:r>
      <w:r>
        <w:rPr>
          <w:rFonts w:ascii="Times New Roman" w:eastAsia="Times New Roman" w:hAnsi="Times New Roman" w:cs="Times New Roman"/>
          <w:sz w:val="28"/>
          <w:szCs w:val="28"/>
        </w:rPr>
        <w:t>запла</w:t>
      </w:r>
      <w:r w:rsidR="00F45519">
        <w:rPr>
          <w:rFonts w:ascii="Times New Roman" w:eastAsia="Times New Roman" w:hAnsi="Times New Roman" w:cs="Times New Roman"/>
          <w:sz w:val="28"/>
          <w:szCs w:val="28"/>
        </w:rPr>
        <w:t>новано на 2023 рік в сумі 19 605</w:t>
      </w:r>
      <w:r>
        <w:rPr>
          <w:rFonts w:ascii="Times New Roman" w:eastAsia="Times New Roman" w:hAnsi="Times New Roman" w:cs="Times New Roman"/>
          <w:sz w:val="28"/>
          <w:szCs w:val="28"/>
        </w:rPr>
        <w:t>,0 тис. грн.</w:t>
      </w:r>
      <w:r w:rsidR="00F455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становить  58,2% від показника доходів загального фонду 2023 року. Прогнозні показники </w:t>
      </w:r>
      <w:r>
        <w:rPr>
          <w:rFonts w:ascii="Times New Roman" w:eastAsia="Times New Roman" w:hAnsi="Times New Roman"/>
          <w:sz w:val="28"/>
          <w:szCs w:val="28"/>
        </w:rPr>
        <w:t xml:space="preserve">податку на доходи фізичних осіб на 2023 рік розраховані із урахуванням прогнозного обсягу фонду оплати праці, рівня середньої заробітної плати, а також бази та діючих ставок оподаткування доходів фізичних осіб та </w:t>
      </w:r>
      <w:r>
        <w:rPr>
          <w:rFonts w:ascii="Times New Roman" w:hAnsi="Times New Roman" w:cs="Times New Roman"/>
          <w:color w:val="000000"/>
          <w:sz w:val="28"/>
          <w:szCs w:val="28"/>
        </w:rPr>
        <w:t>додатково податку на доходи фізичних осіб у розмірі 4 відсотки відповідно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років, підписаного 30.09.2021 між Кабінетом Міністрів України, НАК 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Нафтогаз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Офісом Президента України, Всеукраїнською асоціацією органів місцевого самоврядування 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Асоціація міст України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Палатою місцевих влад Конгресу місцевих та регіональних влад. Планування надходжень  даного  платежу проведено, виходячи з динаміки надходжень за  </w:t>
      </w:r>
      <w:r w:rsidR="00F45519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-2022 роки, росту мінімальної заробітної плати в 2023 році та з врахуванням фінансово-економічної та господарської діяльності підприємств громади. </w:t>
      </w:r>
    </w:p>
    <w:p w:rsidR="007A76D3" w:rsidRDefault="007A76D3" w:rsidP="00EF4290">
      <w:pPr>
        <w:spacing w:line="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76D3" w:rsidRDefault="007A76D3" w:rsidP="00EF4290">
      <w:pPr>
        <w:spacing w:line="232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Ріст надходжень податку та збору на доходи фізичних осіб у 2023 році становить 108,1% до очікуваного показника 2022 року.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ростання показника відбудеться за рахунок зростання мінімальної заробітної плати з 01.10.2022 до 6700 г</w:t>
      </w:r>
      <w:r w:rsidR="00F45519">
        <w:rPr>
          <w:rFonts w:ascii="Times New Roman" w:hAnsi="Times New Roman" w:cs="Times New Roman"/>
          <w:sz w:val="28"/>
          <w:szCs w:val="28"/>
        </w:rPr>
        <w:t xml:space="preserve">рн. та ріст </w:t>
      </w:r>
      <w:proofErr w:type="spellStart"/>
      <w:r w:rsidR="00F45519">
        <w:rPr>
          <w:rFonts w:ascii="Times New Roman" w:hAnsi="Times New Roman" w:cs="Times New Roman"/>
          <w:sz w:val="28"/>
          <w:szCs w:val="28"/>
        </w:rPr>
        <w:t>середньоспискової</w:t>
      </w:r>
      <w:proofErr w:type="spellEnd"/>
      <w:r w:rsidR="00F45519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>сельності працюючих.</w:t>
      </w:r>
    </w:p>
    <w:p w:rsidR="00F45519" w:rsidRDefault="00F45519" w:rsidP="00F45519">
      <w:pPr>
        <w:spacing w:line="232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F455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2504" cy="2854518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C6D7CE3-4E19-B569-2882-0FC31C9417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76D3" w:rsidRDefault="007A76D3" w:rsidP="007A76D3">
      <w:pPr>
        <w:spacing w:line="232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6D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Розрахунок показника рентної плати на 2023 рік здійснено з урахуванням динаміки надходжень за попередні роки, надходжень поточного року. </w:t>
      </w:r>
    </w:p>
    <w:p w:rsidR="007A76D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Показник рентної плати за користування надрами з видобутку природного газу, нафти та газового конденсату на 2023 рік с</w:t>
      </w:r>
      <w:r w:rsidR="00947979">
        <w:rPr>
          <w:sz w:val="28"/>
          <w:szCs w:val="28"/>
        </w:rPr>
        <w:t xml:space="preserve">тановить 277,00 </w:t>
      </w:r>
      <w:proofErr w:type="spellStart"/>
      <w:r w:rsidR="00947979">
        <w:rPr>
          <w:sz w:val="28"/>
          <w:szCs w:val="28"/>
        </w:rPr>
        <w:t>тис.грн</w:t>
      </w:r>
      <w:proofErr w:type="spellEnd"/>
      <w:r w:rsidR="00947979">
        <w:rPr>
          <w:sz w:val="28"/>
          <w:szCs w:val="28"/>
        </w:rPr>
        <w:t>.</w:t>
      </w:r>
      <w:r>
        <w:rPr>
          <w:sz w:val="28"/>
          <w:szCs w:val="28"/>
        </w:rPr>
        <w:t xml:space="preserve">, порівняно із очікуваним показником на 2022 рік, збільшується на на 127,0 тис. </w:t>
      </w:r>
      <w:r w:rsidR="00947979">
        <w:rPr>
          <w:sz w:val="28"/>
          <w:szCs w:val="28"/>
        </w:rPr>
        <w:t>грн.</w:t>
      </w:r>
      <w:r>
        <w:rPr>
          <w:sz w:val="28"/>
          <w:szCs w:val="28"/>
        </w:rPr>
        <w:t xml:space="preserve"> або на 84,7 відсотки. Прогнозний показник рентної плати за користування надрами з видобутку природного газу, нафти та газового конденсату на 2022 рік становить 221,0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порівняно із очікуваним показником на 2022 рік, збільшується на 121,0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="00F93083">
        <w:rPr>
          <w:sz w:val="28"/>
          <w:szCs w:val="28"/>
        </w:rPr>
        <w:t>.</w:t>
      </w:r>
    </w:p>
    <w:p w:rsidR="007A76D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Розрахунок податку на майно, зокрема, плати за землю проведено у розрізі юридичних та фізичних осіб за видами земельного податку та орендної плати за земельні ділянки державної і комунальної власності, а також враховуючи проведення по населених пунктах нормативної грошової оцінки земельних ділянок і становить 7 445,0 тис. грн.</w:t>
      </w:r>
      <w:r w:rsidR="00947979">
        <w:rPr>
          <w:sz w:val="28"/>
          <w:szCs w:val="28"/>
        </w:rPr>
        <w:t>.</w:t>
      </w:r>
    </w:p>
    <w:p w:rsidR="00F93083" w:rsidRDefault="00F93083" w:rsidP="00F930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83">
        <w:rPr>
          <w:noProof/>
          <w:sz w:val="28"/>
          <w:szCs w:val="28"/>
        </w:rPr>
        <w:drawing>
          <wp:inline distT="0" distB="0" distL="0" distR="0">
            <wp:extent cx="6528021" cy="2910177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C10DE87-792F-3BC8-4B14-9A6D4130A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083" w:rsidRDefault="007A76D3" w:rsidP="00EF429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Розрахунок обсягу податку на майно (податку на нерухоме майно, відмінне від земельної ділянки) на 2023 рік проведено у розрізі юридичних та фізичних осіб, </w:t>
      </w:r>
      <w:r>
        <w:rPr>
          <w:sz w:val="28"/>
          <w:szCs w:val="28"/>
        </w:rPr>
        <w:lastRenderedPageBreak/>
        <w:t xml:space="preserve">враховуючи динаміку надходжень за попередні періоди, ріст мінімальної </w:t>
      </w:r>
      <w:r w:rsidR="00F93083">
        <w:rPr>
          <w:sz w:val="28"/>
          <w:szCs w:val="28"/>
        </w:rPr>
        <w:t>заробітної</w:t>
      </w:r>
      <w:r>
        <w:rPr>
          <w:sz w:val="28"/>
          <w:szCs w:val="28"/>
        </w:rPr>
        <w:t xml:space="preserve"> плати та розширення бази оподаткування і становить 1289,0 тис. </w:t>
      </w:r>
      <w:r w:rsidR="00F93083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  <w:bookmarkStart w:id="1" w:name="_Hlk90984169"/>
      <w:r>
        <w:rPr>
          <w:sz w:val="28"/>
          <w:szCs w:val="28"/>
        </w:rPr>
        <w:t>що більше від очікуваних н</w:t>
      </w:r>
      <w:r w:rsidR="00F93083">
        <w:rPr>
          <w:sz w:val="28"/>
          <w:szCs w:val="28"/>
        </w:rPr>
        <w:t xml:space="preserve">адходжень 2022 року на </w:t>
      </w:r>
      <w:r>
        <w:rPr>
          <w:sz w:val="28"/>
          <w:szCs w:val="28"/>
        </w:rPr>
        <w:t xml:space="preserve">677,0 тис. </w:t>
      </w:r>
      <w:r w:rsidR="00F93083">
        <w:rPr>
          <w:sz w:val="28"/>
          <w:szCs w:val="28"/>
        </w:rPr>
        <w:t>грн.</w:t>
      </w:r>
      <w:r>
        <w:rPr>
          <w:sz w:val="28"/>
          <w:szCs w:val="28"/>
        </w:rPr>
        <w:t xml:space="preserve"> або на 110,6 відсотка.</w:t>
      </w:r>
      <w:bookmarkEnd w:id="1"/>
    </w:p>
    <w:p w:rsidR="007A76D3" w:rsidRDefault="007A76D3" w:rsidP="00EF4290">
      <w:pPr>
        <w:spacing w:line="232" w:lineRule="auto"/>
        <w:ind w:lef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Єдиний податок заплановано в сумі 4 330,0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тис.</w:t>
      </w:r>
      <w:r w:rsidRPr="00F93083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F93083">
        <w:rPr>
          <w:rFonts w:ascii="Times New Roman" w:hAnsi="Times New Roman" w:cs="Times New Roman"/>
          <w:color w:val="000000"/>
          <w:sz w:val="28"/>
          <w:szCs w:val="28"/>
        </w:rPr>
        <w:t xml:space="preserve">. що більше від очікуваних надходжень 2022 року на 230,0 тис. </w:t>
      </w:r>
      <w:r w:rsidR="00F93083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Pr="00F93083">
        <w:rPr>
          <w:rFonts w:ascii="Times New Roman" w:hAnsi="Times New Roman" w:cs="Times New Roman"/>
          <w:color w:val="000000"/>
          <w:sz w:val="28"/>
          <w:szCs w:val="28"/>
        </w:rPr>
        <w:t xml:space="preserve"> або на 5,6 відсотка.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Планування надходжень даного платежу проведено виходячи з розмірів ставок місцевих податків та зборів, затверджених селищною радою, та кількості платників зазначених платежів.</w:t>
      </w:r>
    </w:p>
    <w:p w:rsidR="00F93083" w:rsidRDefault="00F93083" w:rsidP="00F93083">
      <w:pPr>
        <w:spacing w:line="232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08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28021" cy="2806811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D233F3-2B80-8F2A-939C-1B05C45A7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76D3" w:rsidRDefault="007A76D3" w:rsidP="00EF4290">
      <w:pPr>
        <w:spacing w:line="232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Акцизний податок з реалізації підакцизних товарів  в сумі 150,0 тис. грн. </w:t>
      </w:r>
      <w:r>
        <w:rPr>
          <w:sz w:val="28"/>
          <w:szCs w:val="28"/>
        </w:rPr>
        <w:t xml:space="preserve">що менше </w:t>
      </w:r>
      <w:r>
        <w:rPr>
          <w:rFonts w:ascii="Times New Roman" w:hAnsi="Times New Roman" w:cs="Times New Roman"/>
          <w:sz w:val="28"/>
          <w:szCs w:val="28"/>
        </w:rPr>
        <w:t>від очікуваних надходжень 2022 року на 10,0 тис. грн.</w:t>
      </w:r>
      <w:r w:rsidR="00CC17CB">
        <w:rPr>
          <w:rFonts w:ascii="Times New Roman" w:hAnsi="Times New Roman" w:cs="Times New Roman"/>
          <w:sz w:val="28"/>
          <w:szCs w:val="28"/>
        </w:rPr>
        <w:t xml:space="preserve"> Це пов</w:t>
      </w:r>
      <w:r w:rsidR="00CC17CB" w:rsidRPr="003B6FCB">
        <w:rPr>
          <w:rFonts w:ascii="Times New Roman" w:hAnsi="Times New Roman" w:cs="Times New Roman"/>
          <w:sz w:val="28"/>
          <w:szCs w:val="28"/>
        </w:rPr>
        <w:t>’</w:t>
      </w:r>
      <w:r w:rsidR="00CC17CB">
        <w:rPr>
          <w:rFonts w:ascii="Times New Roman" w:hAnsi="Times New Roman" w:cs="Times New Roman"/>
          <w:sz w:val="28"/>
          <w:szCs w:val="28"/>
        </w:rPr>
        <w:t xml:space="preserve">язано із зменшенням кількості платників акцизного податку з реалізації роздрібної торгівлі алкогольними та тютюновими виробами на території громади. </w:t>
      </w:r>
    </w:p>
    <w:p w:rsidR="007A76D3" w:rsidRPr="00EF4290" w:rsidRDefault="007A76D3" w:rsidP="00EF4290">
      <w:pPr>
        <w:spacing w:line="232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F4290">
        <w:rPr>
          <w:rFonts w:ascii="Times New Roman" w:hAnsi="Times New Roman" w:cs="Times New Roman"/>
          <w:sz w:val="28"/>
          <w:szCs w:val="28"/>
        </w:rPr>
        <w:t>У 2023 році до бюджету селищної громади планується залучити неподаткових надходжень в сумі 602,0 тис. грн.</w:t>
      </w:r>
      <w:r w:rsidR="00EF4290">
        <w:rPr>
          <w:rFonts w:ascii="Times New Roman" w:hAnsi="Times New Roman" w:cs="Times New Roman"/>
          <w:sz w:val="28"/>
          <w:szCs w:val="28"/>
        </w:rPr>
        <w:t>.</w:t>
      </w:r>
    </w:p>
    <w:p w:rsidR="007A76D3" w:rsidRPr="00EF4290" w:rsidRDefault="007A76D3" w:rsidP="00EF4290">
      <w:pPr>
        <w:spacing w:line="17" w:lineRule="exact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7A76D3" w:rsidRPr="00EF4290" w:rsidRDefault="007A76D3" w:rsidP="00EF4290">
      <w:pPr>
        <w:spacing w:line="0" w:lineRule="atLeas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2"/>
      <w:bookmarkEnd w:id="2"/>
      <w:r w:rsidRPr="00EF4290">
        <w:rPr>
          <w:rFonts w:ascii="Times New Roman" w:hAnsi="Times New Roman" w:cs="Times New Roman"/>
          <w:sz w:val="28"/>
          <w:szCs w:val="28"/>
        </w:rPr>
        <w:t>Доходи спеціального фонду селищного бюджету на 2023 рік сформовано за рахунок:</w:t>
      </w:r>
    </w:p>
    <w:p w:rsidR="007A76D3" w:rsidRPr="00EF4290" w:rsidRDefault="007A76D3" w:rsidP="00EF4290">
      <w:pPr>
        <w:pStyle w:val="aa"/>
        <w:shd w:val="clear" w:color="auto" w:fill="FFFFFF"/>
        <w:spacing w:before="0" w:beforeAutospacing="0" w:after="0" w:afterAutospacing="0"/>
        <w:ind w:firstLine="689"/>
        <w:jc w:val="both"/>
        <w:textAlignment w:val="baseline"/>
        <w:rPr>
          <w:rFonts w:eastAsia="Calibri"/>
          <w:sz w:val="28"/>
          <w:szCs w:val="28"/>
        </w:rPr>
      </w:pPr>
      <w:r w:rsidRPr="00EF4290">
        <w:rPr>
          <w:rFonts w:eastAsia="Calibri"/>
          <w:sz w:val="28"/>
          <w:szCs w:val="28"/>
        </w:rPr>
        <w:t>- екологічного податку в сумі 35,0 тис. грн.;</w:t>
      </w:r>
    </w:p>
    <w:p w:rsidR="007A76D3" w:rsidRPr="00E41A28" w:rsidRDefault="007A76D3" w:rsidP="00E41A28">
      <w:pPr>
        <w:pStyle w:val="aa"/>
        <w:shd w:val="clear" w:color="auto" w:fill="FFFFFF"/>
        <w:spacing w:before="0" w:beforeAutospacing="0" w:after="0" w:afterAutospacing="0"/>
        <w:ind w:firstLine="689"/>
        <w:jc w:val="both"/>
        <w:textAlignment w:val="baseline"/>
        <w:rPr>
          <w:rFonts w:eastAsia="Calibri"/>
          <w:sz w:val="28"/>
          <w:szCs w:val="28"/>
        </w:rPr>
      </w:pPr>
      <w:r w:rsidRPr="00EF4290">
        <w:rPr>
          <w:rFonts w:eastAsia="Calibri"/>
          <w:sz w:val="28"/>
          <w:szCs w:val="28"/>
        </w:rPr>
        <w:t>- власних надходжень бюджетних ус</w:t>
      </w:r>
      <w:r w:rsidR="00E41A28">
        <w:rPr>
          <w:rFonts w:eastAsia="Calibri"/>
          <w:sz w:val="28"/>
          <w:szCs w:val="28"/>
        </w:rPr>
        <w:t xml:space="preserve">танов, що утримуються за кошти </w:t>
      </w:r>
      <w:r w:rsidRPr="00EF4290">
        <w:rPr>
          <w:rFonts w:eastAsia="Calibri"/>
          <w:sz w:val="28"/>
          <w:szCs w:val="28"/>
        </w:rPr>
        <w:t>селищного бюджету в сумі 1273,8 тис. грн.</w:t>
      </w:r>
      <w:r w:rsidR="00E41A28">
        <w:rPr>
          <w:rFonts w:eastAsia="Calibri"/>
          <w:sz w:val="28"/>
          <w:szCs w:val="28"/>
        </w:rPr>
        <w:t>.</w:t>
      </w:r>
    </w:p>
    <w:p w:rsidR="007A76D3" w:rsidRPr="00E41A28" w:rsidRDefault="007A76D3" w:rsidP="00E41A28">
      <w:pPr>
        <w:pStyle w:val="aa"/>
        <w:shd w:val="clear" w:color="auto" w:fill="FFFFFF"/>
        <w:spacing w:before="0" w:beforeAutospacing="0" w:after="0" w:afterAutospacing="0"/>
        <w:ind w:firstLine="689"/>
        <w:jc w:val="both"/>
        <w:textAlignment w:val="baseline"/>
      </w:pPr>
      <w:r>
        <w:rPr>
          <w:sz w:val="28"/>
          <w:szCs w:val="28"/>
        </w:rPr>
        <w:t xml:space="preserve">Загалом, обсяг доходів спеціального фонду селищного бюджету на 2023 рік без  урахування міжбюджетних трансфертів визначено в сумі   1308,8 тис. </w:t>
      </w:r>
      <w:r w:rsidR="00E41A28">
        <w:rPr>
          <w:sz w:val="28"/>
          <w:szCs w:val="28"/>
        </w:rPr>
        <w:t>грн.</w:t>
      </w:r>
      <w:r>
        <w:t>.</w:t>
      </w:r>
    </w:p>
    <w:p w:rsidR="007A76D3" w:rsidRDefault="007A76D3" w:rsidP="00EF4290">
      <w:pPr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Офіційні трансферти від органів державного управління на 2023 рік становитимуть :</w:t>
      </w:r>
    </w:p>
    <w:p w:rsidR="007A76D3" w:rsidRDefault="00E41A28" w:rsidP="00EF4290">
      <w:pPr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7A76D3">
        <w:rPr>
          <w:rFonts w:ascii="Times New Roman" w:hAnsi="Times New Roman" w:cs="Times New Roman"/>
          <w:bCs/>
          <w:sz w:val="28"/>
          <w:szCs w:val="28"/>
        </w:rPr>
        <w:t>світня субвенція з державного бюджету місцевим бюджетам в сумі 16256,6 тис. грн.;</w:t>
      </w:r>
    </w:p>
    <w:p w:rsidR="007A76D3" w:rsidRDefault="00E41A28" w:rsidP="00EF4290">
      <w:pPr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</w:t>
      </w:r>
      <w:r w:rsidR="007A76D3">
        <w:rPr>
          <w:rFonts w:ascii="Times New Roman" w:hAnsi="Times New Roman" w:cs="Times New Roman"/>
          <w:bCs/>
          <w:sz w:val="28"/>
          <w:szCs w:val="28"/>
        </w:rPr>
        <w:t>азова д</w:t>
      </w:r>
      <w:r w:rsidR="007A76D3">
        <w:rPr>
          <w:rFonts w:ascii="Times New Roman" w:hAnsi="Times New Roman" w:cs="Times New Roman"/>
          <w:sz w:val="28"/>
          <w:szCs w:val="28"/>
        </w:rPr>
        <w:t xml:space="preserve">отація з державного </w:t>
      </w:r>
      <w:r w:rsidR="007A76D3">
        <w:rPr>
          <w:rFonts w:ascii="Times New Roman" w:hAnsi="Times New Roman" w:cs="Times New Roman"/>
          <w:bCs/>
          <w:sz w:val="28"/>
          <w:szCs w:val="28"/>
        </w:rPr>
        <w:t xml:space="preserve"> бюджету в сумі 9874,8 тис. </w:t>
      </w:r>
      <w:r>
        <w:rPr>
          <w:rFonts w:ascii="Times New Roman" w:hAnsi="Times New Roman" w:cs="Times New Roman"/>
          <w:bCs/>
          <w:sz w:val="28"/>
          <w:szCs w:val="28"/>
        </w:rPr>
        <w:t>грн..</w:t>
      </w:r>
    </w:p>
    <w:p w:rsidR="00C77EFE" w:rsidRDefault="00C77EFE" w:rsidP="00EF4290">
      <w:pPr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B6E" w:rsidRPr="00424396" w:rsidRDefault="00B86B6E" w:rsidP="00424396">
      <w:pPr>
        <w:spacing w:line="0" w:lineRule="atLeast"/>
        <w:ind w:left="420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E68A9" w:rsidRDefault="000E68A9" w:rsidP="000E68A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ВИДАТКИ СЕЛИЩНОГО БЮДЖЕТУ</w:t>
      </w:r>
    </w:p>
    <w:p w:rsidR="00420770" w:rsidRPr="00424396" w:rsidRDefault="00420770" w:rsidP="00424396">
      <w:pPr>
        <w:spacing w:line="0" w:lineRule="atLeast"/>
        <w:ind w:left="420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4580" w:rsidRPr="00424396" w:rsidRDefault="00854580" w:rsidP="00424396">
      <w:pPr>
        <w:spacing w:line="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B5312" w:rsidRDefault="00EB5312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6D0B">
        <w:rPr>
          <w:sz w:val="28"/>
          <w:szCs w:val="28"/>
        </w:rPr>
        <w:t>Загальний обсяг видатків селищного бюджету на 202</w:t>
      </w:r>
      <w:r w:rsidR="00F466C9">
        <w:rPr>
          <w:sz w:val="28"/>
          <w:szCs w:val="28"/>
        </w:rPr>
        <w:t>3</w:t>
      </w:r>
      <w:r w:rsidRPr="00C26D0B">
        <w:rPr>
          <w:sz w:val="28"/>
          <w:szCs w:val="28"/>
        </w:rPr>
        <w:t xml:space="preserve"> рік складає </w:t>
      </w:r>
      <w:r w:rsidR="00F466C9">
        <w:rPr>
          <w:sz w:val="28"/>
          <w:szCs w:val="28"/>
        </w:rPr>
        <w:t>61 140,3</w:t>
      </w:r>
      <w:r w:rsidRPr="00C26D0B">
        <w:rPr>
          <w:sz w:val="28"/>
          <w:szCs w:val="28"/>
        </w:rPr>
        <w:t xml:space="preserve"> тис. грн., в тому числі обсяг видатків загального фонду – 5</w:t>
      </w:r>
      <w:r w:rsidR="00F466C9">
        <w:rPr>
          <w:sz w:val="28"/>
          <w:szCs w:val="28"/>
        </w:rPr>
        <w:t>9 681,5</w:t>
      </w:r>
      <w:r w:rsidRPr="00C26D0B">
        <w:rPr>
          <w:sz w:val="28"/>
          <w:szCs w:val="28"/>
        </w:rPr>
        <w:t xml:space="preserve"> тис. грн., спеціального фонду – </w:t>
      </w:r>
      <w:r w:rsidR="00C26D0B" w:rsidRPr="00C26D0B">
        <w:rPr>
          <w:sz w:val="28"/>
          <w:szCs w:val="28"/>
        </w:rPr>
        <w:t>1</w:t>
      </w:r>
      <w:r w:rsidR="00F466C9">
        <w:rPr>
          <w:sz w:val="28"/>
          <w:szCs w:val="28"/>
        </w:rPr>
        <w:t> 458,8</w:t>
      </w:r>
      <w:r w:rsidRPr="00C26D0B">
        <w:rPr>
          <w:sz w:val="28"/>
          <w:szCs w:val="28"/>
        </w:rPr>
        <w:t xml:space="preserve"> тис. </w:t>
      </w:r>
      <w:r w:rsidR="00B229C4">
        <w:rPr>
          <w:sz w:val="28"/>
          <w:szCs w:val="28"/>
        </w:rPr>
        <w:t>грн.</w:t>
      </w:r>
      <w:r w:rsidRPr="00C26D0B">
        <w:rPr>
          <w:sz w:val="28"/>
          <w:szCs w:val="28"/>
        </w:rPr>
        <w:t>, в т.ч. бюджету розвитку –</w:t>
      </w:r>
      <w:r w:rsidR="00C26D0B" w:rsidRPr="00C26D0B">
        <w:rPr>
          <w:sz w:val="28"/>
          <w:szCs w:val="28"/>
        </w:rPr>
        <w:t>1</w:t>
      </w:r>
      <w:r w:rsidR="00F466C9">
        <w:rPr>
          <w:sz w:val="28"/>
          <w:szCs w:val="28"/>
        </w:rPr>
        <w:t>5</w:t>
      </w:r>
      <w:r w:rsidRPr="00C26D0B">
        <w:rPr>
          <w:sz w:val="28"/>
          <w:szCs w:val="28"/>
        </w:rPr>
        <w:t>0,0 тис. грн.</w:t>
      </w:r>
    </w:p>
    <w:p w:rsidR="00B229C4" w:rsidRDefault="00B229C4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29C4" w:rsidRDefault="00B229C4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29C4" w:rsidRDefault="00B229C4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29C4" w:rsidRPr="00B229C4" w:rsidRDefault="00B229C4" w:rsidP="00B229C4">
      <w:pPr>
        <w:pStyle w:val="aa"/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32"/>
          <w:szCs w:val="32"/>
          <w:lang w:eastAsia="ru-RU"/>
        </w:rPr>
      </w:pPr>
      <w:r w:rsidRPr="00B229C4">
        <w:rPr>
          <w:b/>
          <w:bCs/>
          <w:color w:val="000000"/>
          <w:sz w:val="32"/>
          <w:szCs w:val="32"/>
          <w:lang w:eastAsia="ru-RU"/>
        </w:rPr>
        <w:t>Структура видатків загального фонду бюджету на 2023 рік за бюджетними програмами</w:t>
      </w:r>
    </w:p>
    <w:p w:rsidR="00B229C4" w:rsidRDefault="00B229C4" w:rsidP="00B229C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29C4">
        <w:rPr>
          <w:noProof/>
          <w:sz w:val="28"/>
          <w:szCs w:val="28"/>
        </w:rPr>
        <w:drawing>
          <wp:inline distT="0" distB="0" distL="0" distR="0">
            <wp:extent cx="6456459" cy="310896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98BC5FB-6096-F5C0-165C-0B2168F2EB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29C4" w:rsidRPr="00B229C4" w:rsidRDefault="00B229C4" w:rsidP="00B229C4">
      <w:pPr>
        <w:pStyle w:val="aa"/>
        <w:shd w:val="clear" w:color="auto" w:fill="FFFFFF"/>
        <w:spacing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eastAsia="ru-RU"/>
        </w:rPr>
      </w:pPr>
      <w:r w:rsidRPr="00B229C4">
        <w:rPr>
          <w:b/>
          <w:bCs/>
          <w:color w:val="000000"/>
          <w:sz w:val="32"/>
          <w:szCs w:val="32"/>
          <w:lang w:eastAsia="ru-RU"/>
        </w:rPr>
        <w:t>Структура видатків спеціального фонду бюджету на 2023 рік</w:t>
      </w:r>
    </w:p>
    <w:p w:rsidR="00B229C4" w:rsidRPr="00B229C4" w:rsidRDefault="00B229C4" w:rsidP="00B229C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eastAsia="ru-RU"/>
        </w:rPr>
      </w:pPr>
    </w:p>
    <w:p w:rsidR="00B229C4" w:rsidRPr="00C26D0B" w:rsidRDefault="00B229C4" w:rsidP="00B229C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29C4">
        <w:rPr>
          <w:noProof/>
          <w:sz w:val="28"/>
          <w:szCs w:val="28"/>
        </w:rPr>
        <w:drawing>
          <wp:inline distT="0" distB="0" distL="0" distR="0">
            <wp:extent cx="6456459" cy="2655736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6BB7D1E-8F6A-EFE4-B2B4-9208C042A7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D0B" w:rsidRPr="00C26D0B" w:rsidRDefault="00C26D0B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6D0B">
        <w:rPr>
          <w:sz w:val="28"/>
          <w:szCs w:val="28"/>
        </w:rPr>
        <w:t>У бюджеті передбачається забезпечити перш за все видатки</w:t>
      </w:r>
      <w:r>
        <w:rPr>
          <w:sz w:val="28"/>
          <w:szCs w:val="28"/>
        </w:rPr>
        <w:t xml:space="preserve"> на захищені статті, а саме:</w:t>
      </w:r>
      <w:r w:rsidRPr="00C26D0B">
        <w:rPr>
          <w:sz w:val="28"/>
          <w:szCs w:val="28"/>
        </w:rPr>
        <w:t xml:space="preserve"> на заробітну плату, оплату енергоносіїв, харчування тощо.</w:t>
      </w:r>
    </w:p>
    <w:p w:rsidR="00854580" w:rsidRPr="00424396" w:rsidRDefault="00854580" w:rsidP="000F7444">
      <w:pPr>
        <w:spacing w:line="1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424396" w:rsidRDefault="00ED0E5E" w:rsidP="000F7444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>Фонд оплати праці пра</w:t>
      </w:r>
      <w:r w:rsidR="00087A73">
        <w:rPr>
          <w:rFonts w:ascii="Times New Roman" w:eastAsia="Times New Roman" w:hAnsi="Times New Roman"/>
          <w:sz w:val="28"/>
          <w:szCs w:val="28"/>
        </w:rPr>
        <w:t>цівників бюджетної сфери на 20</w:t>
      </w:r>
      <w:r w:rsidR="006D6A2C">
        <w:rPr>
          <w:rFonts w:ascii="Times New Roman" w:eastAsia="Times New Roman" w:hAnsi="Times New Roman"/>
          <w:sz w:val="28"/>
          <w:szCs w:val="28"/>
        </w:rPr>
        <w:t>2</w:t>
      </w:r>
      <w:r w:rsidR="00F466C9">
        <w:rPr>
          <w:rFonts w:ascii="Times New Roman" w:eastAsia="Times New Roman" w:hAnsi="Times New Roman"/>
          <w:sz w:val="28"/>
          <w:szCs w:val="28"/>
        </w:rPr>
        <w:t>3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 рік обраховано:</w:t>
      </w:r>
    </w:p>
    <w:p w:rsidR="00854580" w:rsidRPr="00424396" w:rsidRDefault="00854580" w:rsidP="000F7444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424396" w:rsidRDefault="00ED0E5E" w:rsidP="000F7444">
      <w:pPr>
        <w:numPr>
          <w:ilvl w:val="0"/>
          <w:numId w:val="12"/>
        </w:numPr>
        <w:tabs>
          <w:tab w:val="left" w:pos="0"/>
          <w:tab w:val="left" w:pos="993"/>
        </w:tabs>
        <w:spacing w:line="239" w:lineRule="auto"/>
        <w:ind w:left="0" w:firstLine="709"/>
        <w:jc w:val="both"/>
        <w:rPr>
          <w:rFonts w:ascii="Symbol" w:eastAsia="Symbol" w:hAnsi="Symbol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>на  штатну чисельність</w:t>
      </w:r>
      <w:r w:rsidR="00A4760B">
        <w:rPr>
          <w:rFonts w:ascii="Times New Roman" w:eastAsia="Times New Roman" w:hAnsi="Times New Roman"/>
          <w:sz w:val="28"/>
          <w:szCs w:val="28"/>
        </w:rPr>
        <w:t>, що пропонується до затвердження</w:t>
      </w:r>
      <w:r w:rsidR="000F7444">
        <w:rPr>
          <w:rFonts w:ascii="Times New Roman" w:eastAsia="Times New Roman" w:hAnsi="Times New Roman"/>
          <w:sz w:val="28"/>
          <w:szCs w:val="28"/>
        </w:rPr>
        <w:t>;</w:t>
      </w:r>
    </w:p>
    <w:p w:rsidR="00854580" w:rsidRPr="00424396" w:rsidRDefault="00854580" w:rsidP="000F7444">
      <w:pPr>
        <w:tabs>
          <w:tab w:val="left" w:pos="0"/>
          <w:tab w:val="left" w:pos="993"/>
        </w:tabs>
        <w:spacing w:line="1" w:lineRule="exact"/>
        <w:ind w:firstLine="709"/>
        <w:jc w:val="both"/>
        <w:rPr>
          <w:rFonts w:ascii="Symbol" w:eastAsia="Symbol" w:hAnsi="Symbol"/>
          <w:sz w:val="28"/>
          <w:szCs w:val="28"/>
        </w:rPr>
      </w:pPr>
    </w:p>
    <w:p w:rsidR="00854580" w:rsidRPr="00424396" w:rsidRDefault="00ED0E5E" w:rsidP="000F7444">
      <w:pPr>
        <w:numPr>
          <w:ilvl w:val="0"/>
          <w:numId w:val="12"/>
        </w:numPr>
        <w:tabs>
          <w:tab w:val="left" w:pos="0"/>
          <w:tab w:val="left" w:pos="993"/>
        </w:tabs>
        <w:spacing w:line="238" w:lineRule="auto"/>
        <w:ind w:left="0" w:firstLine="709"/>
        <w:jc w:val="both"/>
        <w:rPr>
          <w:rFonts w:ascii="Symbol" w:eastAsia="Symbol" w:hAnsi="Symbol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>з забезпеченням обов’язкових виплат</w:t>
      </w:r>
      <w:r w:rsidR="000F7444">
        <w:rPr>
          <w:rFonts w:ascii="Times New Roman" w:eastAsia="Times New Roman" w:hAnsi="Times New Roman"/>
          <w:sz w:val="28"/>
          <w:szCs w:val="28"/>
        </w:rPr>
        <w:t>;</w:t>
      </w:r>
    </w:p>
    <w:p w:rsidR="00854580" w:rsidRPr="00165EAF" w:rsidRDefault="00ED0E5E" w:rsidP="000F7444">
      <w:pPr>
        <w:numPr>
          <w:ilvl w:val="0"/>
          <w:numId w:val="12"/>
        </w:numPr>
        <w:tabs>
          <w:tab w:val="left" w:pos="0"/>
          <w:tab w:val="left" w:pos="714"/>
          <w:tab w:val="left" w:pos="993"/>
        </w:tabs>
        <w:spacing w:line="226" w:lineRule="auto"/>
        <w:ind w:left="0" w:firstLine="709"/>
        <w:jc w:val="both"/>
        <w:rPr>
          <w:rFonts w:ascii="Symbol" w:eastAsia="Symbol" w:hAnsi="Symbol"/>
          <w:sz w:val="28"/>
          <w:szCs w:val="28"/>
        </w:rPr>
      </w:pPr>
      <w:bookmarkStart w:id="3" w:name="page3"/>
      <w:bookmarkEnd w:id="3"/>
      <w:r w:rsidRPr="00424396">
        <w:rPr>
          <w:rFonts w:ascii="Times New Roman" w:eastAsia="Times New Roman" w:hAnsi="Times New Roman"/>
          <w:sz w:val="28"/>
          <w:szCs w:val="28"/>
        </w:rPr>
        <w:t>з урахуванням запровадження розмір</w:t>
      </w:r>
      <w:r w:rsidR="00EA608D">
        <w:rPr>
          <w:rFonts w:ascii="Times New Roman" w:eastAsia="Times New Roman" w:hAnsi="Times New Roman"/>
          <w:sz w:val="28"/>
          <w:szCs w:val="28"/>
        </w:rPr>
        <w:t xml:space="preserve">у мінімальної заробітної плати </w:t>
      </w:r>
      <w:r w:rsidR="00165EAF">
        <w:rPr>
          <w:rFonts w:ascii="Times New Roman" w:eastAsia="Times New Roman" w:hAnsi="Times New Roman"/>
          <w:sz w:val="28"/>
          <w:szCs w:val="28"/>
        </w:rPr>
        <w:t>6</w:t>
      </w:r>
      <w:r w:rsidR="00F466C9">
        <w:rPr>
          <w:rFonts w:ascii="Times New Roman" w:eastAsia="Times New Roman" w:hAnsi="Times New Roman"/>
          <w:sz w:val="28"/>
          <w:szCs w:val="28"/>
        </w:rPr>
        <w:t>70</w:t>
      </w:r>
      <w:r w:rsidR="00165EAF">
        <w:rPr>
          <w:rFonts w:ascii="Times New Roman" w:eastAsia="Times New Roman" w:hAnsi="Times New Roman"/>
          <w:sz w:val="28"/>
          <w:szCs w:val="28"/>
        </w:rPr>
        <w:t>0</w:t>
      </w:r>
      <w:r w:rsidRPr="00424396">
        <w:rPr>
          <w:rFonts w:ascii="Times New Roman" w:eastAsia="Times New Roman" w:hAnsi="Times New Roman"/>
          <w:sz w:val="28"/>
          <w:szCs w:val="28"/>
        </w:rPr>
        <w:t>,0 грн. з 1 січня</w:t>
      </w:r>
      <w:r w:rsidR="00EA608D">
        <w:rPr>
          <w:rFonts w:ascii="Times New Roman" w:eastAsia="Times New Roman" w:hAnsi="Times New Roman"/>
          <w:sz w:val="28"/>
          <w:szCs w:val="28"/>
        </w:rPr>
        <w:t xml:space="preserve"> 20</w:t>
      </w:r>
      <w:r w:rsidR="006D6A2C">
        <w:rPr>
          <w:rFonts w:ascii="Times New Roman" w:eastAsia="Times New Roman" w:hAnsi="Times New Roman"/>
          <w:sz w:val="28"/>
          <w:szCs w:val="28"/>
        </w:rPr>
        <w:t>2</w:t>
      </w:r>
      <w:r w:rsidR="00F466C9">
        <w:rPr>
          <w:rFonts w:ascii="Times New Roman" w:eastAsia="Times New Roman" w:hAnsi="Times New Roman"/>
          <w:sz w:val="28"/>
          <w:szCs w:val="28"/>
        </w:rPr>
        <w:t>3</w:t>
      </w:r>
      <w:r w:rsidR="00EA608D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="002A6301">
        <w:rPr>
          <w:rFonts w:ascii="Times New Roman" w:eastAsia="Times New Roman" w:hAnsi="Times New Roman"/>
          <w:sz w:val="28"/>
          <w:szCs w:val="28"/>
        </w:rPr>
        <w:t>;</w:t>
      </w:r>
    </w:p>
    <w:p w:rsidR="00854580" w:rsidRPr="00424396" w:rsidRDefault="00854580" w:rsidP="000F7444">
      <w:pPr>
        <w:tabs>
          <w:tab w:val="left" w:pos="0"/>
          <w:tab w:val="left" w:pos="993"/>
        </w:tabs>
        <w:spacing w:line="35" w:lineRule="exact"/>
        <w:ind w:firstLine="709"/>
        <w:jc w:val="both"/>
        <w:rPr>
          <w:rFonts w:ascii="Symbol" w:eastAsia="Symbol" w:hAnsi="Symbol"/>
          <w:sz w:val="28"/>
          <w:szCs w:val="28"/>
        </w:rPr>
      </w:pPr>
    </w:p>
    <w:p w:rsidR="00854580" w:rsidRPr="00424396" w:rsidRDefault="00165EAF" w:rsidP="000F7444">
      <w:pPr>
        <w:pStyle w:val="11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Symbol" w:eastAsia="Symbol" w:hAnsi="Symbol"/>
          <w:sz w:val="28"/>
          <w:szCs w:val="28"/>
        </w:rPr>
      </w:pPr>
      <w:r w:rsidRPr="00424396">
        <w:rPr>
          <w:sz w:val="28"/>
          <w:szCs w:val="28"/>
        </w:rPr>
        <w:t xml:space="preserve">з урахуванням посадового окладу працівника І тарифного розряду Єдиної тарифної сітки </w:t>
      </w:r>
      <w:r w:rsidRPr="0076670E">
        <w:rPr>
          <w:sz w:val="28"/>
          <w:szCs w:val="28"/>
        </w:rPr>
        <w:t xml:space="preserve"> з 1 </w:t>
      </w:r>
      <w:r w:rsidR="00F466C9" w:rsidRPr="0076670E">
        <w:rPr>
          <w:sz w:val="28"/>
          <w:szCs w:val="28"/>
        </w:rPr>
        <w:t>січня</w:t>
      </w:r>
      <w:r w:rsidR="000F7444">
        <w:rPr>
          <w:sz w:val="28"/>
          <w:szCs w:val="28"/>
        </w:rPr>
        <w:t>–</w:t>
      </w:r>
      <w:r w:rsidR="005F204F">
        <w:rPr>
          <w:rFonts w:ascii="Helvetica, sans-serif" w:hAnsi="Helvetica, sans-serif"/>
          <w:sz w:val="28"/>
          <w:szCs w:val="28"/>
        </w:rPr>
        <w:t>2893</w:t>
      </w:r>
      <w:r w:rsidRPr="0076670E">
        <w:rPr>
          <w:sz w:val="28"/>
          <w:szCs w:val="28"/>
        </w:rPr>
        <w:t xml:space="preserve"> грн.</w:t>
      </w:r>
    </w:p>
    <w:p w:rsidR="00854580" w:rsidRPr="00424396" w:rsidRDefault="00854580" w:rsidP="000F7444">
      <w:pPr>
        <w:tabs>
          <w:tab w:val="left" w:pos="0"/>
          <w:tab w:val="left" w:pos="993"/>
        </w:tabs>
        <w:spacing w:line="1" w:lineRule="exact"/>
        <w:ind w:firstLine="709"/>
        <w:jc w:val="both"/>
        <w:rPr>
          <w:rFonts w:ascii="Symbol" w:eastAsia="Symbol" w:hAnsi="Symbol"/>
          <w:sz w:val="28"/>
          <w:szCs w:val="28"/>
        </w:rPr>
      </w:pPr>
    </w:p>
    <w:p w:rsidR="00854580" w:rsidRPr="00424396" w:rsidRDefault="00ED0E5E" w:rsidP="000F7444">
      <w:pPr>
        <w:numPr>
          <w:ilvl w:val="0"/>
          <w:numId w:val="6"/>
        </w:numPr>
        <w:tabs>
          <w:tab w:val="left" w:pos="0"/>
          <w:tab w:val="left" w:pos="700"/>
          <w:tab w:val="left" w:pos="993"/>
        </w:tabs>
        <w:spacing w:line="239" w:lineRule="auto"/>
        <w:ind w:firstLine="709"/>
        <w:jc w:val="both"/>
        <w:rPr>
          <w:rFonts w:ascii="Symbol" w:eastAsia="Symbol" w:hAnsi="Symbol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>встановлення розміру єдиного соціального внеску на рівні 22%</w:t>
      </w:r>
      <w:r w:rsidR="000F7444">
        <w:rPr>
          <w:rFonts w:ascii="Times New Roman" w:eastAsia="Times New Roman" w:hAnsi="Times New Roman"/>
          <w:sz w:val="28"/>
          <w:szCs w:val="28"/>
        </w:rPr>
        <w:t>.</w:t>
      </w:r>
    </w:p>
    <w:p w:rsidR="00854580" w:rsidRPr="00424396" w:rsidRDefault="00854580" w:rsidP="00424396">
      <w:pPr>
        <w:spacing w:line="1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424396" w:rsidRDefault="00854580" w:rsidP="00424396">
      <w:pPr>
        <w:spacing w:line="1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35D65" w:rsidRDefault="00D35D65" w:rsidP="00424396">
      <w:pPr>
        <w:spacing w:line="0" w:lineRule="atLeast"/>
        <w:ind w:left="42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4580" w:rsidRPr="00BD24C1" w:rsidRDefault="00ED0E5E" w:rsidP="000F7444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D24C1">
        <w:rPr>
          <w:rFonts w:ascii="Times New Roman" w:eastAsia="Times New Roman" w:hAnsi="Times New Roman"/>
          <w:b/>
          <w:sz w:val="32"/>
          <w:szCs w:val="32"/>
        </w:rPr>
        <w:lastRenderedPageBreak/>
        <w:t>Державне управління</w:t>
      </w:r>
    </w:p>
    <w:p w:rsidR="004D468D" w:rsidRPr="00424396" w:rsidRDefault="004D468D" w:rsidP="00424396">
      <w:pPr>
        <w:spacing w:line="0" w:lineRule="atLeast"/>
        <w:ind w:left="42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871CA" w:rsidRDefault="005871CA" w:rsidP="000F74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871CA">
        <w:rPr>
          <w:sz w:val="28"/>
          <w:szCs w:val="28"/>
        </w:rPr>
        <w:t xml:space="preserve">На утримання апарату </w:t>
      </w:r>
      <w:proofErr w:type="spellStart"/>
      <w:r w:rsidRPr="005871CA">
        <w:rPr>
          <w:sz w:val="28"/>
          <w:szCs w:val="28"/>
        </w:rPr>
        <w:t>Гніздичівської</w:t>
      </w:r>
      <w:proofErr w:type="spellEnd"/>
      <w:r w:rsidRPr="005871CA">
        <w:rPr>
          <w:sz w:val="28"/>
          <w:szCs w:val="28"/>
        </w:rPr>
        <w:t xml:space="preserve"> селищної ради запроектовані видатки</w:t>
      </w:r>
      <w:r w:rsidR="005E3462">
        <w:rPr>
          <w:sz w:val="28"/>
          <w:szCs w:val="28"/>
        </w:rPr>
        <w:t xml:space="preserve"> в сумі 6</w:t>
      </w:r>
      <w:r w:rsidR="006D1B5E">
        <w:rPr>
          <w:sz w:val="28"/>
          <w:szCs w:val="28"/>
        </w:rPr>
        <w:t> </w:t>
      </w:r>
      <w:r w:rsidR="005E3462">
        <w:rPr>
          <w:sz w:val="28"/>
          <w:szCs w:val="28"/>
        </w:rPr>
        <w:t>5</w:t>
      </w:r>
      <w:r w:rsidR="006D1B5E">
        <w:rPr>
          <w:sz w:val="28"/>
          <w:szCs w:val="28"/>
        </w:rPr>
        <w:t>76,7</w:t>
      </w:r>
      <w:r w:rsidR="005E3462">
        <w:rPr>
          <w:sz w:val="28"/>
          <w:szCs w:val="28"/>
        </w:rPr>
        <w:t xml:space="preserve"> тис. грн. </w:t>
      </w:r>
      <w:r w:rsidR="00AE53E8">
        <w:rPr>
          <w:sz w:val="28"/>
          <w:szCs w:val="28"/>
        </w:rPr>
        <w:t xml:space="preserve">у тому числі видатки </w:t>
      </w:r>
      <w:r w:rsidRPr="005871CA">
        <w:rPr>
          <w:sz w:val="28"/>
          <w:szCs w:val="28"/>
        </w:rPr>
        <w:t xml:space="preserve"> загального фонду в сумі </w:t>
      </w:r>
      <w:r w:rsidR="00AB1EC3">
        <w:rPr>
          <w:sz w:val="28"/>
          <w:szCs w:val="28"/>
        </w:rPr>
        <w:t>6</w:t>
      </w:r>
      <w:r w:rsidR="006D1B5E">
        <w:rPr>
          <w:sz w:val="28"/>
          <w:szCs w:val="28"/>
        </w:rPr>
        <w:t> </w:t>
      </w:r>
      <w:r w:rsidR="00AB1EC3">
        <w:rPr>
          <w:sz w:val="28"/>
          <w:szCs w:val="28"/>
        </w:rPr>
        <w:t>55</w:t>
      </w:r>
      <w:r w:rsidR="006D1B5E">
        <w:rPr>
          <w:sz w:val="28"/>
          <w:szCs w:val="28"/>
        </w:rPr>
        <w:t>9,7</w:t>
      </w:r>
      <w:r w:rsidRPr="005871CA">
        <w:rPr>
          <w:sz w:val="28"/>
          <w:szCs w:val="28"/>
        </w:rPr>
        <w:t xml:space="preserve"> тис. грн.</w:t>
      </w:r>
      <w:r w:rsidR="00AE53E8">
        <w:rPr>
          <w:sz w:val="28"/>
          <w:szCs w:val="28"/>
        </w:rPr>
        <w:t>, спеціального фонду в сумі 1</w:t>
      </w:r>
      <w:r w:rsidR="006D1B5E">
        <w:rPr>
          <w:sz w:val="28"/>
          <w:szCs w:val="28"/>
        </w:rPr>
        <w:t>7</w:t>
      </w:r>
      <w:r w:rsidR="00AE53E8">
        <w:rPr>
          <w:sz w:val="28"/>
          <w:szCs w:val="28"/>
        </w:rPr>
        <w:t xml:space="preserve">,0 </w:t>
      </w:r>
      <w:proofErr w:type="spellStart"/>
      <w:r w:rsidR="00AE53E8">
        <w:rPr>
          <w:sz w:val="28"/>
          <w:szCs w:val="28"/>
        </w:rPr>
        <w:t>тис.грн</w:t>
      </w:r>
      <w:proofErr w:type="spellEnd"/>
      <w:r w:rsidR="00AE53E8">
        <w:rPr>
          <w:sz w:val="28"/>
          <w:szCs w:val="28"/>
        </w:rPr>
        <w:t>.</w:t>
      </w:r>
      <w:r w:rsidRPr="005871CA">
        <w:rPr>
          <w:sz w:val="28"/>
          <w:szCs w:val="28"/>
        </w:rPr>
        <w:t xml:space="preserve"> Із них видатки на заробітну плату з нарахуваннями – </w:t>
      </w:r>
      <w:r w:rsidR="00AB1EC3">
        <w:rPr>
          <w:sz w:val="28"/>
          <w:szCs w:val="28"/>
        </w:rPr>
        <w:t>5</w:t>
      </w:r>
      <w:r w:rsidR="00D07EDD">
        <w:rPr>
          <w:sz w:val="28"/>
          <w:szCs w:val="28"/>
        </w:rPr>
        <w:t> </w:t>
      </w:r>
      <w:r w:rsidR="00AB1EC3">
        <w:rPr>
          <w:sz w:val="28"/>
          <w:szCs w:val="28"/>
        </w:rPr>
        <w:t>8</w:t>
      </w:r>
      <w:r w:rsidR="00D07EDD">
        <w:rPr>
          <w:sz w:val="28"/>
          <w:szCs w:val="28"/>
        </w:rPr>
        <w:t>49,8</w:t>
      </w:r>
      <w:r w:rsidRPr="005871CA">
        <w:rPr>
          <w:sz w:val="28"/>
          <w:szCs w:val="28"/>
        </w:rPr>
        <w:t> тис. грн</w:t>
      </w:r>
      <w:r w:rsidR="00AB1EC3">
        <w:rPr>
          <w:sz w:val="28"/>
          <w:szCs w:val="28"/>
        </w:rPr>
        <w:t xml:space="preserve">. </w:t>
      </w:r>
      <w:r w:rsidR="00AB1EC3" w:rsidRPr="00424396">
        <w:rPr>
          <w:sz w:val="28"/>
          <w:szCs w:val="28"/>
        </w:rPr>
        <w:t>(</w:t>
      </w:r>
      <w:r w:rsidR="00AB1EC3">
        <w:rPr>
          <w:sz w:val="28"/>
          <w:szCs w:val="28"/>
        </w:rPr>
        <w:t>8</w:t>
      </w:r>
      <w:r w:rsidR="006D1B5E">
        <w:rPr>
          <w:sz w:val="28"/>
          <w:szCs w:val="28"/>
        </w:rPr>
        <w:t>8,9</w:t>
      </w:r>
      <w:r w:rsidR="00AB1EC3" w:rsidRPr="00424396">
        <w:rPr>
          <w:sz w:val="28"/>
          <w:szCs w:val="28"/>
        </w:rPr>
        <w:t xml:space="preserve"> % у структурі видатків)</w:t>
      </w:r>
      <w:r w:rsidRPr="005871CA">
        <w:rPr>
          <w:sz w:val="28"/>
          <w:szCs w:val="28"/>
        </w:rPr>
        <w:t xml:space="preserve">, на комунальні послуги та енергоносії – </w:t>
      </w:r>
      <w:r w:rsidR="00AB1EC3">
        <w:rPr>
          <w:sz w:val="28"/>
          <w:szCs w:val="28"/>
        </w:rPr>
        <w:t>297</w:t>
      </w:r>
      <w:r w:rsidRPr="005871CA">
        <w:rPr>
          <w:sz w:val="28"/>
          <w:szCs w:val="28"/>
        </w:rPr>
        <w:t xml:space="preserve">,0 тис. </w:t>
      </w:r>
      <w:r w:rsidR="000B0A1B">
        <w:rPr>
          <w:sz w:val="28"/>
          <w:szCs w:val="28"/>
        </w:rPr>
        <w:t>грн.</w:t>
      </w:r>
      <w:r w:rsidR="00AB1EC3" w:rsidRPr="00424396">
        <w:rPr>
          <w:sz w:val="28"/>
          <w:szCs w:val="28"/>
        </w:rPr>
        <w:t>(</w:t>
      </w:r>
      <w:r w:rsidR="00AB1EC3">
        <w:rPr>
          <w:sz w:val="28"/>
          <w:szCs w:val="28"/>
        </w:rPr>
        <w:t>4,5</w:t>
      </w:r>
      <w:r w:rsidR="00AB1EC3" w:rsidRPr="00424396">
        <w:rPr>
          <w:sz w:val="28"/>
          <w:szCs w:val="28"/>
        </w:rPr>
        <w:t xml:space="preserve"> % у структурі видатків)</w:t>
      </w:r>
      <w:r w:rsidRPr="005871CA">
        <w:rPr>
          <w:sz w:val="28"/>
          <w:szCs w:val="28"/>
        </w:rPr>
        <w:t xml:space="preserve"> та інші видатки – </w:t>
      </w:r>
      <w:r w:rsidR="00FF67FD">
        <w:rPr>
          <w:sz w:val="28"/>
          <w:szCs w:val="28"/>
        </w:rPr>
        <w:t>429,9</w:t>
      </w:r>
      <w:r w:rsidRPr="005871CA">
        <w:rPr>
          <w:sz w:val="28"/>
          <w:szCs w:val="28"/>
        </w:rPr>
        <w:t xml:space="preserve"> тис. грн.</w:t>
      </w:r>
      <w:r w:rsidR="00BD24C1">
        <w:rPr>
          <w:sz w:val="28"/>
          <w:szCs w:val="28"/>
        </w:rPr>
        <w:t>.</w:t>
      </w:r>
    </w:p>
    <w:p w:rsidR="005E3462" w:rsidRPr="00424396" w:rsidRDefault="005E3462" w:rsidP="000F74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_Hlk91501896"/>
      <w:r w:rsidRPr="00424396">
        <w:rPr>
          <w:rFonts w:ascii="Times New Roman" w:hAnsi="Times New Roman" w:cs="Times New Roman"/>
          <w:iCs/>
          <w:sz w:val="28"/>
          <w:szCs w:val="28"/>
        </w:rPr>
        <w:t>Джерел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формування спеціального фонду є </w:t>
      </w:r>
      <w:r>
        <w:rPr>
          <w:rFonts w:ascii="Times New Roman" w:hAnsi="Times New Roman" w:cs="Times New Roman"/>
          <w:iCs/>
          <w:sz w:val="28"/>
          <w:szCs w:val="28"/>
        </w:rPr>
        <w:t>плата за оренду майна бюджетних установ в сумі 1</w:t>
      </w:r>
      <w:r w:rsidR="00542478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,0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тис. грн.</w:t>
      </w:r>
      <w:r w:rsidR="00BD24C1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4"/>
    <w:p w:rsidR="0016134F" w:rsidRPr="0077607F" w:rsidRDefault="0016134F" w:rsidP="000F7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F">
        <w:rPr>
          <w:rFonts w:ascii="Times New Roman" w:hAnsi="Times New Roman" w:cs="Times New Roman"/>
          <w:sz w:val="28"/>
          <w:szCs w:val="28"/>
        </w:rPr>
        <w:t xml:space="preserve">На утримання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r w:rsidRPr="0077607F">
        <w:rPr>
          <w:rFonts w:ascii="Times New Roman" w:hAnsi="Times New Roman" w:cs="Times New Roman"/>
          <w:bCs/>
          <w:sz w:val="28"/>
          <w:szCs w:val="28"/>
        </w:rPr>
        <w:t>заплановано</w:t>
      </w:r>
      <w:proofErr w:type="spellEnd"/>
      <w:r w:rsidRPr="0077607F">
        <w:rPr>
          <w:rFonts w:ascii="Times New Roman" w:hAnsi="Times New Roman" w:cs="Times New Roman"/>
          <w:bCs/>
          <w:sz w:val="28"/>
          <w:szCs w:val="28"/>
        </w:rPr>
        <w:t xml:space="preserve"> видатки загального фонду в сумі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54247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42478">
        <w:rPr>
          <w:rFonts w:ascii="Times New Roman" w:hAnsi="Times New Roman" w:cs="Times New Roman"/>
          <w:bCs/>
          <w:sz w:val="28"/>
          <w:szCs w:val="28"/>
        </w:rPr>
        <w:t>8</w:t>
      </w:r>
      <w:r w:rsidRPr="0077607F">
        <w:rPr>
          <w:rFonts w:ascii="Times New Roman" w:hAnsi="Times New Roman" w:cs="Times New Roman"/>
          <w:bCs/>
          <w:sz w:val="28"/>
          <w:szCs w:val="28"/>
        </w:rPr>
        <w:t xml:space="preserve"> тис. грн. </w:t>
      </w:r>
      <w:r w:rsidRPr="0077607F">
        <w:rPr>
          <w:rFonts w:ascii="Times New Roman" w:hAnsi="Times New Roman" w:cs="Times New Roman"/>
          <w:sz w:val="28"/>
          <w:szCs w:val="28"/>
        </w:rPr>
        <w:t xml:space="preserve">Із них видатки на заробітну плату з нарахуваннями – </w:t>
      </w:r>
      <w:r>
        <w:rPr>
          <w:rFonts w:ascii="Times New Roman" w:hAnsi="Times New Roman" w:cs="Times New Roman"/>
          <w:sz w:val="28"/>
          <w:szCs w:val="28"/>
        </w:rPr>
        <w:t>267,0</w:t>
      </w:r>
      <w:r w:rsidRPr="007760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607F">
        <w:rPr>
          <w:rFonts w:ascii="Times New Roman" w:hAnsi="Times New Roman" w:cs="Times New Roman"/>
          <w:sz w:val="28"/>
          <w:szCs w:val="28"/>
        </w:rPr>
        <w:t>тис.грн.комунальні</w:t>
      </w:r>
      <w:proofErr w:type="spellEnd"/>
      <w:r w:rsidRPr="0077607F">
        <w:rPr>
          <w:rFonts w:ascii="Times New Roman" w:hAnsi="Times New Roman" w:cs="Times New Roman"/>
          <w:sz w:val="28"/>
          <w:szCs w:val="28"/>
        </w:rPr>
        <w:t xml:space="preserve"> послуги та енергоносії –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77607F">
        <w:rPr>
          <w:rFonts w:ascii="Times New Roman" w:hAnsi="Times New Roman" w:cs="Times New Roman"/>
          <w:sz w:val="28"/>
          <w:szCs w:val="28"/>
        </w:rPr>
        <w:t> тис..</w:t>
      </w:r>
    </w:p>
    <w:p w:rsidR="00165EAF" w:rsidRPr="0077607F" w:rsidRDefault="00165EAF" w:rsidP="000F7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F">
        <w:rPr>
          <w:rFonts w:ascii="Times New Roman" w:hAnsi="Times New Roman" w:cs="Times New Roman"/>
          <w:sz w:val="28"/>
          <w:szCs w:val="28"/>
        </w:rPr>
        <w:t xml:space="preserve">На утримання  відділу освіти, охорони здоров’я та соціально-культурної сфери ради </w:t>
      </w:r>
      <w:r w:rsidRPr="0077607F">
        <w:rPr>
          <w:rFonts w:ascii="Times New Roman" w:hAnsi="Times New Roman" w:cs="Times New Roman"/>
          <w:bCs/>
          <w:sz w:val="28"/>
          <w:szCs w:val="28"/>
        </w:rPr>
        <w:t xml:space="preserve">заплановано видатки загального фонду в сумі </w:t>
      </w:r>
      <w:r w:rsidR="004D468D">
        <w:rPr>
          <w:rFonts w:ascii="Times New Roman" w:hAnsi="Times New Roman" w:cs="Times New Roman"/>
          <w:bCs/>
          <w:sz w:val="28"/>
          <w:szCs w:val="28"/>
        </w:rPr>
        <w:t>1</w:t>
      </w:r>
      <w:r w:rsidR="00542478">
        <w:rPr>
          <w:rFonts w:ascii="Times New Roman" w:hAnsi="Times New Roman" w:cs="Times New Roman"/>
          <w:bCs/>
          <w:sz w:val="28"/>
          <w:szCs w:val="28"/>
        </w:rPr>
        <w:t> 324,9</w:t>
      </w:r>
      <w:r w:rsidRPr="0077607F">
        <w:rPr>
          <w:rFonts w:ascii="Times New Roman" w:hAnsi="Times New Roman" w:cs="Times New Roman"/>
          <w:bCs/>
          <w:sz w:val="28"/>
          <w:szCs w:val="28"/>
        </w:rPr>
        <w:t xml:space="preserve"> тис. грн. </w:t>
      </w:r>
      <w:r w:rsidRPr="0077607F">
        <w:rPr>
          <w:rFonts w:ascii="Times New Roman" w:hAnsi="Times New Roman" w:cs="Times New Roman"/>
          <w:sz w:val="28"/>
          <w:szCs w:val="28"/>
        </w:rPr>
        <w:t xml:space="preserve">Із них видатки на заробітну плату з нарахуваннями – </w:t>
      </w:r>
      <w:r w:rsidR="00C76C7A">
        <w:rPr>
          <w:rFonts w:ascii="Times New Roman" w:hAnsi="Times New Roman" w:cs="Times New Roman"/>
          <w:sz w:val="28"/>
          <w:szCs w:val="28"/>
        </w:rPr>
        <w:t>1</w:t>
      </w:r>
      <w:r w:rsidR="00542478">
        <w:rPr>
          <w:rFonts w:ascii="Times New Roman" w:hAnsi="Times New Roman" w:cs="Times New Roman"/>
          <w:sz w:val="28"/>
          <w:szCs w:val="28"/>
        </w:rPr>
        <w:t> 256,5</w:t>
      </w:r>
      <w:r w:rsidRPr="007760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607F">
        <w:rPr>
          <w:rFonts w:ascii="Times New Roman" w:hAnsi="Times New Roman" w:cs="Times New Roman"/>
          <w:sz w:val="28"/>
          <w:szCs w:val="28"/>
        </w:rPr>
        <w:t>тис.грн.</w:t>
      </w:r>
      <w:r w:rsidR="00C76C7A" w:rsidRPr="0077607F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="00C76C7A" w:rsidRPr="0077607F">
        <w:rPr>
          <w:rFonts w:ascii="Times New Roman" w:hAnsi="Times New Roman" w:cs="Times New Roman"/>
          <w:sz w:val="28"/>
          <w:szCs w:val="28"/>
        </w:rPr>
        <w:t xml:space="preserve"> послуги та енергоносії – 1</w:t>
      </w:r>
      <w:r w:rsidR="00C76C7A">
        <w:rPr>
          <w:rFonts w:ascii="Times New Roman" w:hAnsi="Times New Roman" w:cs="Times New Roman"/>
          <w:sz w:val="28"/>
          <w:szCs w:val="28"/>
        </w:rPr>
        <w:t>7,0</w:t>
      </w:r>
      <w:r w:rsidR="00C76C7A" w:rsidRPr="0077607F">
        <w:rPr>
          <w:rFonts w:ascii="Times New Roman" w:hAnsi="Times New Roman" w:cs="Times New Roman"/>
          <w:sz w:val="28"/>
          <w:szCs w:val="28"/>
        </w:rPr>
        <w:t> тис.</w:t>
      </w:r>
      <w:r w:rsidRPr="0077607F">
        <w:rPr>
          <w:rFonts w:ascii="Times New Roman" w:hAnsi="Times New Roman" w:cs="Times New Roman"/>
          <w:sz w:val="28"/>
          <w:szCs w:val="28"/>
        </w:rPr>
        <w:t>.</w:t>
      </w:r>
    </w:p>
    <w:p w:rsidR="00165EAF" w:rsidRDefault="00165EAF" w:rsidP="000F7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F">
        <w:rPr>
          <w:rFonts w:ascii="Times New Roman" w:hAnsi="Times New Roman" w:cs="Times New Roman"/>
          <w:bCs/>
          <w:sz w:val="28"/>
          <w:szCs w:val="28"/>
        </w:rPr>
        <w:t xml:space="preserve">На утримання фінансового відділу </w:t>
      </w:r>
      <w:r w:rsidR="005D4CD4" w:rsidRPr="0077607F">
        <w:rPr>
          <w:rFonts w:ascii="Times New Roman" w:hAnsi="Times New Roman" w:cs="Times New Roman"/>
          <w:bCs/>
          <w:sz w:val="28"/>
          <w:szCs w:val="28"/>
        </w:rPr>
        <w:t>селищної</w:t>
      </w:r>
      <w:r w:rsidRPr="0077607F">
        <w:rPr>
          <w:rFonts w:ascii="Times New Roman" w:hAnsi="Times New Roman" w:cs="Times New Roman"/>
          <w:bCs/>
          <w:sz w:val="28"/>
          <w:szCs w:val="28"/>
        </w:rPr>
        <w:t xml:space="preserve"> ради заплановано видатки загального фонду в сумі </w:t>
      </w:r>
      <w:r w:rsidR="004D468D">
        <w:rPr>
          <w:rFonts w:ascii="Times New Roman" w:hAnsi="Times New Roman" w:cs="Times New Roman"/>
          <w:bCs/>
          <w:sz w:val="28"/>
          <w:szCs w:val="28"/>
        </w:rPr>
        <w:t>83</w:t>
      </w:r>
      <w:r w:rsidR="00542478">
        <w:rPr>
          <w:rFonts w:ascii="Times New Roman" w:hAnsi="Times New Roman" w:cs="Times New Roman"/>
          <w:bCs/>
          <w:sz w:val="28"/>
          <w:szCs w:val="28"/>
        </w:rPr>
        <w:t>8</w:t>
      </w:r>
      <w:r w:rsidR="004D468D">
        <w:rPr>
          <w:rFonts w:ascii="Times New Roman" w:hAnsi="Times New Roman" w:cs="Times New Roman"/>
          <w:bCs/>
          <w:sz w:val="28"/>
          <w:szCs w:val="28"/>
        </w:rPr>
        <w:t>,1</w:t>
      </w:r>
      <w:r w:rsidRPr="0077607F">
        <w:rPr>
          <w:rFonts w:ascii="Times New Roman" w:hAnsi="Times New Roman" w:cs="Times New Roman"/>
          <w:bCs/>
          <w:sz w:val="28"/>
          <w:szCs w:val="28"/>
        </w:rPr>
        <w:t xml:space="preserve"> тис. грн.. </w:t>
      </w:r>
      <w:r w:rsidRPr="0077607F">
        <w:rPr>
          <w:rFonts w:ascii="Times New Roman" w:hAnsi="Times New Roman" w:cs="Times New Roman"/>
          <w:sz w:val="28"/>
          <w:szCs w:val="28"/>
        </w:rPr>
        <w:t xml:space="preserve">Із них видатки на заробітну плату з нарахуваннями – </w:t>
      </w:r>
      <w:r w:rsidR="004D468D">
        <w:rPr>
          <w:rFonts w:ascii="Times New Roman" w:hAnsi="Times New Roman" w:cs="Times New Roman"/>
          <w:sz w:val="28"/>
          <w:szCs w:val="28"/>
        </w:rPr>
        <w:t>799,1</w:t>
      </w:r>
      <w:r w:rsidRPr="0077607F">
        <w:rPr>
          <w:rFonts w:ascii="Times New Roman" w:hAnsi="Times New Roman" w:cs="Times New Roman"/>
          <w:sz w:val="28"/>
          <w:szCs w:val="28"/>
        </w:rPr>
        <w:t xml:space="preserve"> тис. грн., на комунальні послуги та енергоносії – </w:t>
      </w:r>
      <w:r w:rsidR="005D4CD4" w:rsidRPr="0077607F">
        <w:rPr>
          <w:rFonts w:ascii="Times New Roman" w:hAnsi="Times New Roman" w:cs="Times New Roman"/>
          <w:sz w:val="28"/>
          <w:szCs w:val="28"/>
        </w:rPr>
        <w:t>1</w:t>
      </w:r>
      <w:r w:rsidR="00C76C7A">
        <w:rPr>
          <w:rFonts w:ascii="Times New Roman" w:hAnsi="Times New Roman" w:cs="Times New Roman"/>
          <w:sz w:val="28"/>
          <w:szCs w:val="28"/>
        </w:rPr>
        <w:t>8,0</w:t>
      </w:r>
      <w:r w:rsidRPr="0077607F">
        <w:rPr>
          <w:rFonts w:ascii="Times New Roman" w:hAnsi="Times New Roman" w:cs="Times New Roman"/>
          <w:sz w:val="28"/>
          <w:szCs w:val="28"/>
        </w:rPr>
        <w:t> тис. гр</w:t>
      </w:r>
      <w:r w:rsidR="00BD24C1">
        <w:rPr>
          <w:rFonts w:ascii="Times New Roman" w:hAnsi="Times New Roman" w:cs="Times New Roman"/>
          <w:sz w:val="28"/>
          <w:szCs w:val="28"/>
        </w:rPr>
        <w:t>н.</w:t>
      </w:r>
      <w:r w:rsidRPr="0077607F">
        <w:rPr>
          <w:rFonts w:ascii="Times New Roman" w:hAnsi="Times New Roman" w:cs="Times New Roman"/>
          <w:sz w:val="28"/>
          <w:szCs w:val="28"/>
        </w:rPr>
        <w:t>.</w:t>
      </w:r>
    </w:p>
    <w:p w:rsidR="00C64479" w:rsidRPr="0077607F" w:rsidRDefault="00C64479" w:rsidP="000F7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фінансування програм у сфері державного управління заплановано видатки в сумі 80,0 тис.</w:t>
      </w:r>
      <w:r w:rsidR="00BD24C1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80" w:rsidRPr="00424396" w:rsidRDefault="00854580" w:rsidP="00424396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9A46CC" w:rsidRDefault="00ED0E5E" w:rsidP="0021580B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A46CC">
        <w:rPr>
          <w:rFonts w:ascii="Times New Roman" w:eastAsia="Times New Roman" w:hAnsi="Times New Roman"/>
          <w:b/>
          <w:sz w:val="32"/>
          <w:szCs w:val="32"/>
        </w:rPr>
        <w:t>Освіта</w:t>
      </w:r>
    </w:p>
    <w:p w:rsidR="00BC6692" w:rsidRPr="00BD24C1" w:rsidRDefault="00BC6692" w:rsidP="00424396">
      <w:pPr>
        <w:spacing w:line="0" w:lineRule="atLeast"/>
        <w:ind w:left="482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854580" w:rsidRPr="00160DA8" w:rsidRDefault="00962D1A" w:rsidP="00BD24C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>На  освіту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 xml:space="preserve">  в  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>селищному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 xml:space="preserve">  бюджеті  на  20</w:t>
      </w:r>
      <w:r w:rsidR="005138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D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 xml:space="preserve">  рік  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заплановано  </w:t>
      </w:r>
      <w:r w:rsidR="00160DA8">
        <w:rPr>
          <w:rFonts w:ascii="Times New Roman" w:eastAsia="Times New Roman" w:hAnsi="Times New Roman" w:cs="Times New Roman"/>
          <w:sz w:val="28"/>
          <w:szCs w:val="28"/>
        </w:rPr>
        <w:t>38 506,8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 xml:space="preserve">тис. </w:t>
      </w:r>
      <w:proofErr w:type="spellStart"/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>грн</w:t>
      </w:r>
      <w:r w:rsidR="00ED0E5E" w:rsidRPr="004243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0DA8" w:rsidRPr="00160D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0DA8" w:rsidRPr="00160DA8">
        <w:rPr>
          <w:rFonts w:ascii="Times New Roman" w:hAnsi="Times New Roman" w:cs="Times New Roman"/>
          <w:sz w:val="28"/>
          <w:szCs w:val="28"/>
        </w:rPr>
        <w:t xml:space="preserve"> тому числі видатки  загального фонду в сумі </w:t>
      </w:r>
      <w:r w:rsidR="00160DA8">
        <w:rPr>
          <w:rFonts w:ascii="Times New Roman" w:hAnsi="Times New Roman" w:cs="Times New Roman"/>
          <w:sz w:val="28"/>
          <w:szCs w:val="28"/>
        </w:rPr>
        <w:t>37 280,6</w:t>
      </w:r>
      <w:r w:rsidR="00160DA8" w:rsidRPr="00160DA8">
        <w:rPr>
          <w:rFonts w:ascii="Times New Roman" w:hAnsi="Times New Roman" w:cs="Times New Roman"/>
          <w:sz w:val="28"/>
          <w:szCs w:val="28"/>
        </w:rPr>
        <w:t xml:space="preserve"> тис. грн., спеціального фонду в сумі </w:t>
      </w:r>
      <w:r w:rsidR="00160DA8">
        <w:rPr>
          <w:rFonts w:ascii="Times New Roman" w:hAnsi="Times New Roman" w:cs="Times New Roman"/>
          <w:sz w:val="28"/>
          <w:szCs w:val="28"/>
        </w:rPr>
        <w:t>1 226,2</w:t>
      </w:r>
      <w:r w:rsidR="00160DA8" w:rsidRPr="00160DA8">
        <w:rPr>
          <w:rFonts w:ascii="Times New Roman" w:hAnsi="Times New Roman" w:cs="Times New Roman"/>
          <w:sz w:val="28"/>
          <w:szCs w:val="28"/>
        </w:rPr>
        <w:t xml:space="preserve"> тис. </w:t>
      </w:r>
      <w:r w:rsidR="00BD24C1">
        <w:rPr>
          <w:rFonts w:ascii="Times New Roman" w:hAnsi="Times New Roman" w:cs="Times New Roman"/>
          <w:sz w:val="28"/>
          <w:szCs w:val="28"/>
        </w:rPr>
        <w:t>грн..</w:t>
      </w:r>
    </w:p>
    <w:p w:rsidR="00854580" w:rsidRPr="00424396" w:rsidRDefault="00854580" w:rsidP="00BD24C1">
      <w:pPr>
        <w:spacing w:line="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80" w:rsidRPr="00424396" w:rsidRDefault="00ED0E5E" w:rsidP="00BD24C1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Мережа установ освіти, що фінансуватимуться з </w:t>
      </w:r>
      <w:r w:rsidR="00962D1A" w:rsidRPr="00424396">
        <w:rPr>
          <w:rFonts w:ascii="Times New Roman" w:eastAsia="Times New Roman" w:hAnsi="Times New Roman" w:cs="Times New Roman"/>
          <w:sz w:val="28"/>
          <w:szCs w:val="28"/>
        </w:rPr>
        <w:t>селищного</w:t>
      </w:r>
      <w:r w:rsidR="0051389B">
        <w:rPr>
          <w:rFonts w:ascii="Times New Roman" w:eastAsia="Times New Roman" w:hAnsi="Times New Roman" w:cs="Times New Roman"/>
          <w:sz w:val="28"/>
          <w:szCs w:val="28"/>
        </w:rPr>
        <w:t xml:space="preserve"> бюджету в 202</w:t>
      </w:r>
      <w:r w:rsidR="00BD24C1">
        <w:rPr>
          <w:rFonts w:ascii="Times New Roman" w:eastAsia="Times New Roman" w:hAnsi="Times New Roman" w:cs="Times New Roman"/>
          <w:sz w:val="28"/>
          <w:szCs w:val="28"/>
        </w:rPr>
        <w:t>3 році включає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>: З</w:t>
      </w:r>
      <w:r w:rsidR="00160DA8">
        <w:rPr>
          <w:rFonts w:ascii="Times New Roman" w:eastAsia="Times New Roman" w:hAnsi="Times New Roman" w:cs="Times New Roman"/>
          <w:sz w:val="28"/>
          <w:szCs w:val="28"/>
        </w:rPr>
        <w:t>ЗСО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4C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146F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62D1A" w:rsidRPr="004243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34E6">
        <w:rPr>
          <w:rFonts w:ascii="Times New Roman" w:eastAsia="Times New Roman" w:hAnsi="Times New Roman" w:cs="Times New Roman"/>
          <w:sz w:val="28"/>
          <w:szCs w:val="28"/>
        </w:rPr>
        <w:t>, Дитяча школа</w:t>
      </w:r>
      <w:r w:rsidR="00516696">
        <w:rPr>
          <w:rFonts w:ascii="Times New Roman" w:eastAsia="Times New Roman" w:hAnsi="Times New Roman" w:cs="Times New Roman"/>
          <w:sz w:val="28"/>
          <w:szCs w:val="28"/>
        </w:rPr>
        <w:t xml:space="preserve"> мистецтв і</w:t>
      </w:r>
      <w:r w:rsidR="00160DA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0DA8">
        <w:rPr>
          <w:rFonts w:ascii="Times New Roman" w:eastAsia="Times New Roman" w:hAnsi="Times New Roman" w:cs="Times New Roman"/>
          <w:sz w:val="28"/>
          <w:szCs w:val="28"/>
        </w:rPr>
        <w:t>Ігора</w:t>
      </w:r>
      <w:proofErr w:type="spellEnd"/>
      <w:r w:rsidR="0051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696">
        <w:rPr>
          <w:rFonts w:ascii="Times New Roman" w:eastAsia="Times New Roman" w:hAnsi="Times New Roman" w:cs="Times New Roman"/>
          <w:sz w:val="28"/>
          <w:szCs w:val="28"/>
        </w:rPr>
        <w:t>Кушплера</w:t>
      </w:r>
      <w:proofErr w:type="spellEnd"/>
      <w:r w:rsidR="007D34E6">
        <w:rPr>
          <w:rFonts w:ascii="Times New Roman" w:eastAsia="Times New Roman" w:hAnsi="Times New Roman" w:cs="Times New Roman"/>
          <w:sz w:val="28"/>
          <w:szCs w:val="28"/>
        </w:rPr>
        <w:t xml:space="preserve"> – 1.</w:t>
      </w:r>
    </w:p>
    <w:p w:rsidR="00854580" w:rsidRPr="00424396" w:rsidRDefault="00854580" w:rsidP="00BD24C1">
      <w:pPr>
        <w:spacing w:line="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1A" w:rsidRDefault="00ED0E5E" w:rsidP="00BD24C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Оплата праці в загальному обсязі видатків становить </w:t>
      </w:r>
      <w:r w:rsidR="00845836">
        <w:rPr>
          <w:rFonts w:ascii="Times New Roman" w:eastAsia="Times New Roman" w:hAnsi="Times New Roman" w:cs="Times New Roman"/>
          <w:sz w:val="28"/>
          <w:szCs w:val="28"/>
        </w:rPr>
        <w:t>29 163,1</w:t>
      </w:r>
      <w:r w:rsidR="00962D1A" w:rsidRPr="00424396">
        <w:rPr>
          <w:rFonts w:ascii="Times New Roman" w:eastAsia="Times New Roman" w:hAnsi="Times New Roman" w:cs="Times New Roman"/>
          <w:sz w:val="28"/>
          <w:szCs w:val="28"/>
        </w:rPr>
        <w:t>тис.грн. (у видатках</w:t>
      </w:r>
      <w:r w:rsidR="00ED0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80B">
        <w:rPr>
          <w:rFonts w:ascii="Times New Roman" w:eastAsia="Times New Roman" w:hAnsi="Times New Roman" w:cs="Times New Roman"/>
          <w:sz w:val="28"/>
          <w:szCs w:val="28"/>
        </w:rPr>
        <w:t xml:space="preserve">загального фонду </w:t>
      </w:r>
      <w:r w:rsidR="00845836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 % на галузь)</w:t>
      </w:r>
      <w:r w:rsidR="00962D1A" w:rsidRPr="004243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2D1A" w:rsidRPr="00424396">
        <w:rPr>
          <w:rFonts w:ascii="Times New Roman" w:hAnsi="Times New Roman" w:cs="Times New Roman"/>
          <w:sz w:val="28"/>
          <w:szCs w:val="28"/>
        </w:rPr>
        <w:t>При розрахунку в</w:t>
      </w:r>
      <w:r w:rsidR="00962D1A" w:rsidRPr="00424396">
        <w:rPr>
          <w:rStyle w:val="rvts23"/>
          <w:rFonts w:ascii="Times New Roman" w:hAnsi="Times New Roman" w:cs="Times New Roman"/>
          <w:sz w:val="28"/>
          <w:szCs w:val="28"/>
        </w:rPr>
        <w:t xml:space="preserve">раховано видатки на оплату праці згідно штатних розписів та тарифікації установ, надбавку педагогічним працівникам,  щорічну винагороду педагогічним працівникам у розмірі </w:t>
      </w:r>
      <w:r w:rsidR="007D34E6">
        <w:rPr>
          <w:rStyle w:val="rvts23"/>
          <w:rFonts w:ascii="Times New Roman" w:hAnsi="Times New Roman" w:cs="Times New Roman"/>
          <w:sz w:val="28"/>
          <w:szCs w:val="28"/>
        </w:rPr>
        <w:t>50</w:t>
      </w:r>
      <w:r w:rsidR="00962D1A" w:rsidRPr="00424396">
        <w:rPr>
          <w:rStyle w:val="rvts23"/>
          <w:rFonts w:ascii="Times New Roman" w:hAnsi="Times New Roman" w:cs="Times New Roman"/>
          <w:sz w:val="28"/>
          <w:szCs w:val="28"/>
        </w:rPr>
        <w:t xml:space="preserve"> відсотків, матеріальну допомогу на оздоровлення працівникам в розмірі посадового окладу</w:t>
      </w:r>
      <w:r w:rsidR="00962D1A" w:rsidRPr="004243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679" w:rsidRDefault="00662679" w:rsidP="00662679">
      <w:pPr>
        <w:spacing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Слід зазначити, що за рахунок коштів освітньої субвенції не забезпечено оплату праці педагогічних працівників загальноосвітніх навчальних в сумі 3 277,3 тис. грн.</w:t>
      </w:r>
    </w:p>
    <w:p w:rsidR="00854580" w:rsidRPr="00424396" w:rsidRDefault="00962D1A" w:rsidP="00BD24C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>идатки на енергоносії спожиті установами</w:t>
      </w:r>
      <w:r w:rsidR="00424396" w:rsidRPr="00424396">
        <w:rPr>
          <w:rFonts w:ascii="Times New Roman" w:eastAsia="Times New Roman" w:hAnsi="Times New Roman" w:cs="Times New Roman"/>
          <w:sz w:val="28"/>
          <w:szCs w:val="28"/>
        </w:rPr>
        <w:t xml:space="preserve"> освіти заплановано </w:t>
      </w:r>
      <w:r w:rsidR="00845836">
        <w:rPr>
          <w:rFonts w:ascii="Times New Roman" w:eastAsia="Times New Roman" w:hAnsi="Times New Roman" w:cs="Times New Roman"/>
          <w:sz w:val="28"/>
          <w:szCs w:val="28"/>
        </w:rPr>
        <w:t>3 788,5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>тис.грн. (</w:t>
      </w:r>
      <w:r w:rsidR="009B52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0E5E" w:rsidRPr="00424396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085196" w:rsidRPr="00424396" w:rsidRDefault="00085196" w:rsidP="00BD2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96">
        <w:rPr>
          <w:rFonts w:ascii="Times New Roman" w:hAnsi="Times New Roman" w:cs="Times New Roman"/>
          <w:sz w:val="28"/>
          <w:szCs w:val="28"/>
        </w:rPr>
        <w:t xml:space="preserve">Для організації харчування учнів пільгової категорії у загальноосвітніх навчальних закладах запланована грошова норма в розмірі </w:t>
      </w:r>
      <w:r w:rsidR="009B5237">
        <w:rPr>
          <w:rFonts w:ascii="Times New Roman" w:hAnsi="Times New Roman" w:cs="Times New Roman"/>
          <w:sz w:val="28"/>
          <w:szCs w:val="28"/>
        </w:rPr>
        <w:t>40</w:t>
      </w:r>
      <w:r w:rsidRPr="00424396">
        <w:rPr>
          <w:rFonts w:ascii="Times New Roman" w:hAnsi="Times New Roman" w:cs="Times New Roman"/>
          <w:sz w:val="28"/>
          <w:szCs w:val="28"/>
        </w:rPr>
        <w:t xml:space="preserve"> грн</w:t>
      </w:r>
      <w:r w:rsidR="0021580B">
        <w:rPr>
          <w:rFonts w:ascii="Times New Roman" w:hAnsi="Times New Roman" w:cs="Times New Roman"/>
          <w:sz w:val="28"/>
          <w:szCs w:val="28"/>
        </w:rPr>
        <w:t>.</w:t>
      </w:r>
      <w:r w:rsidRPr="00424396">
        <w:rPr>
          <w:rFonts w:ascii="Times New Roman" w:hAnsi="Times New Roman" w:cs="Times New Roman"/>
          <w:sz w:val="28"/>
          <w:szCs w:val="28"/>
        </w:rPr>
        <w:t xml:space="preserve"> в день, що в обсязі на рік </w:t>
      </w:r>
      <w:r w:rsidRPr="000A1450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FB5C36">
        <w:rPr>
          <w:rFonts w:ascii="Times New Roman" w:hAnsi="Times New Roman" w:cs="Times New Roman"/>
          <w:sz w:val="28"/>
          <w:szCs w:val="28"/>
        </w:rPr>
        <w:t>1</w:t>
      </w:r>
      <w:r w:rsidR="009B5237">
        <w:rPr>
          <w:rFonts w:ascii="Times New Roman" w:hAnsi="Times New Roman" w:cs="Times New Roman"/>
          <w:sz w:val="28"/>
          <w:szCs w:val="28"/>
        </w:rPr>
        <w:t> 866,6</w:t>
      </w:r>
      <w:r w:rsidR="00962D1A" w:rsidRPr="00424396">
        <w:rPr>
          <w:rFonts w:ascii="Times New Roman" w:hAnsi="Times New Roman" w:cs="Times New Roman"/>
          <w:sz w:val="28"/>
          <w:szCs w:val="28"/>
        </w:rPr>
        <w:t>тис. грн.</w:t>
      </w:r>
      <w:r w:rsidR="0021580B">
        <w:rPr>
          <w:rFonts w:ascii="Times New Roman" w:hAnsi="Times New Roman" w:cs="Times New Roman"/>
          <w:sz w:val="28"/>
          <w:szCs w:val="28"/>
        </w:rPr>
        <w:t>.</w:t>
      </w:r>
    </w:p>
    <w:p w:rsidR="00962D1A" w:rsidRPr="00424396" w:rsidRDefault="00962D1A" w:rsidP="00BD2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96">
        <w:rPr>
          <w:rFonts w:ascii="Times New Roman" w:hAnsi="Times New Roman" w:cs="Times New Roman"/>
          <w:sz w:val="28"/>
          <w:szCs w:val="28"/>
        </w:rPr>
        <w:t>Відповідно до Закону України «Про Державний бюджет України на 20</w:t>
      </w:r>
      <w:r w:rsidR="008919E0">
        <w:rPr>
          <w:rFonts w:ascii="Times New Roman" w:hAnsi="Times New Roman" w:cs="Times New Roman"/>
          <w:sz w:val="28"/>
          <w:szCs w:val="28"/>
        </w:rPr>
        <w:t>2</w:t>
      </w:r>
      <w:r w:rsidR="009B5237">
        <w:rPr>
          <w:rFonts w:ascii="Times New Roman" w:hAnsi="Times New Roman" w:cs="Times New Roman"/>
          <w:sz w:val="28"/>
          <w:szCs w:val="28"/>
        </w:rPr>
        <w:t>3</w:t>
      </w:r>
      <w:r w:rsidRPr="00424396">
        <w:rPr>
          <w:rFonts w:ascii="Times New Roman" w:hAnsi="Times New Roman" w:cs="Times New Roman"/>
          <w:sz w:val="28"/>
          <w:szCs w:val="28"/>
        </w:rPr>
        <w:t xml:space="preserve"> рік» для селищного бюджету </w:t>
      </w:r>
      <w:r w:rsidR="0021580B">
        <w:rPr>
          <w:rFonts w:ascii="Times New Roman" w:hAnsi="Times New Roman" w:cs="Times New Roman"/>
          <w:sz w:val="28"/>
          <w:szCs w:val="28"/>
        </w:rPr>
        <w:t>передбачено</w:t>
      </w:r>
      <w:r w:rsidRPr="00424396">
        <w:rPr>
          <w:rFonts w:ascii="Times New Roman" w:hAnsi="Times New Roman" w:cs="Times New Roman"/>
          <w:sz w:val="28"/>
          <w:szCs w:val="28"/>
        </w:rPr>
        <w:t xml:space="preserve"> освітню субвенцію в сумі </w:t>
      </w:r>
      <w:r w:rsidR="009B5237">
        <w:rPr>
          <w:rFonts w:ascii="Times New Roman" w:hAnsi="Times New Roman" w:cs="Times New Roman"/>
          <w:sz w:val="28"/>
          <w:szCs w:val="28"/>
        </w:rPr>
        <w:t>16 256,6</w:t>
      </w:r>
      <w:r w:rsidRPr="00424396">
        <w:rPr>
          <w:rFonts w:ascii="Times New Roman" w:hAnsi="Times New Roman" w:cs="Times New Roman"/>
          <w:sz w:val="28"/>
          <w:szCs w:val="28"/>
        </w:rPr>
        <w:t>тис.грн.</w:t>
      </w:r>
      <w:r w:rsidR="009B5237">
        <w:rPr>
          <w:rFonts w:ascii="Times New Roman" w:hAnsi="Times New Roman" w:cs="Times New Roman"/>
          <w:sz w:val="28"/>
          <w:szCs w:val="28"/>
        </w:rPr>
        <w:t xml:space="preserve"> (зменшено на 10% до уточненого плану 2022 року)</w:t>
      </w:r>
    </w:p>
    <w:p w:rsidR="00854580" w:rsidRDefault="00962D1A" w:rsidP="00BD2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96">
        <w:rPr>
          <w:rFonts w:ascii="Times New Roman" w:hAnsi="Times New Roman" w:cs="Times New Roman"/>
          <w:sz w:val="28"/>
          <w:szCs w:val="28"/>
        </w:rPr>
        <w:t xml:space="preserve">За рахунок освітньої субвенції проводитимуться видатки </w:t>
      </w:r>
      <w:r w:rsidR="005D4CD4">
        <w:rPr>
          <w:rFonts w:ascii="Times New Roman" w:hAnsi="Times New Roman" w:cs="Times New Roman"/>
          <w:sz w:val="28"/>
          <w:szCs w:val="28"/>
        </w:rPr>
        <w:t>на</w:t>
      </w:r>
      <w:r w:rsidRPr="00424396">
        <w:rPr>
          <w:rFonts w:ascii="Times New Roman" w:hAnsi="Times New Roman" w:cs="Times New Roman"/>
          <w:sz w:val="28"/>
          <w:szCs w:val="28"/>
        </w:rPr>
        <w:t xml:space="preserve"> виплату заробітної плати з нарахуваннями педагогічним працівникам.</w:t>
      </w:r>
    </w:p>
    <w:p w:rsidR="00AA0704" w:rsidRPr="00424396" w:rsidRDefault="00AA0704" w:rsidP="00BD2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фінансування програм у сфері освіти заплановано видатки в сумі </w:t>
      </w:r>
      <w:r w:rsidR="006454C0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580B">
        <w:rPr>
          <w:rFonts w:ascii="Times New Roman" w:hAnsi="Times New Roman" w:cs="Times New Roman"/>
          <w:sz w:val="28"/>
          <w:szCs w:val="28"/>
        </w:rPr>
        <w:t>.</w:t>
      </w:r>
    </w:p>
    <w:p w:rsidR="00424396" w:rsidRPr="00424396" w:rsidRDefault="00424396" w:rsidP="00BD24C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4396">
        <w:rPr>
          <w:rFonts w:ascii="Times New Roman" w:hAnsi="Times New Roman" w:cs="Times New Roman"/>
          <w:iCs/>
          <w:sz w:val="28"/>
          <w:szCs w:val="28"/>
        </w:rPr>
        <w:t xml:space="preserve">Джерелами формування спеціального фонду по установах освіти є </w:t>
      </w:r>
      <w:bookmarkStart w:id="5" w:name="_Hlk91501941"/>
      <w:r w:rsidRPr="00424396">
        <w:rPr>
          <w:rFonts w:ascii="Times New Roman" w:hAnsi="Times New Roman" w:cs="Times New Roman"/>
          <w:iCs/>
          <w:sz w:val="28"/>
          <w:szCs w:val="28"/>
        </w:rPr>
        <w:t xml:space="preserve">власні надходження бюджетних установ  </w:t>
      </w:r>
      <w:bookmarkEnd w:id="5"/>
      <w:r w:rsidRPr="00424396">
        <w:rPr>
          <w:rFonts w:ascii="Times New Roman" w:hAnsi="Times New Roman" w:cs="Times New Roman"/>
          <w:iCs/>
          <w:sz w:val="28"/>
          <w:szCs w:val="28"/>
        </w:rPr>
        <w:t xml:space="preserve">у сумі </w:t>
      </w:r>
      <w:r w:rsidR="006454C0">
        <w:rPr>
          <w:rFonts w:ascii="Times New Roman" w:hAnsi="Times New Roman" w:cs="Times New Roman"/>
          <w:iCs/>
          <w:sz w:val="28"/>
          <w:szCs w:val="28"/>
        </w:rPr>
        <w:t>1226,2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тис. грн.</w:t>
      </w:r>
      <w:r w:rsidR="0021580B">
        <w:rPr>
          <w:rFonts w:ascii="Times New Roman" w:hAnsi="Times New Roman" w:cs="Times New Roman"/>
          <w:iCs/>
          <w:sz w:val="28"/>
          <w:szCs w:val="28"/>
        </w:rPr>
        <w:t>.</w:t>
      </w:r>
    </w:p>
    <w:p w:rsidR="00BC6692" w:rsidRDefault="00BC6692" w:rsidP="0021580B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580" w:rsidRPr="0021580B" w:rsidRDefault="00ED0E5E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1580B">
        <w:rPr>
          <w:rFonts w:ascii="Times New Roman" w:eastAsia="Times New Roman" w:hAnsi="Times New Roman"/>
          <w:b/>
          <w:sz w:val="32"/>
          <w:szCs w:val="32"/>
        </w:rPr>
        <w:t>Охорона здоров’я</w:t>
      </w:r>
    </w:p>
    <w:p w:rsidR="00A83A3E" w:rsidRPr="0021580B" w:rsidRDefault="00A83A3E" w:rsidP="00424396">
      <w:pPr>
        <w:spacing w:line="239" w:lineRule="auto"/>
        <w:ind w:left="452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854580" w:rsidRPr="00424396" w:rsidRDefault="00ED0E5E" w:rsidP="0021580B">
      <w:pPr>
        <w:spacing w:line="23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На галузь передбачається спрямувати із загального фонду бюджету </w:t>
      </w:r>
      <w:r w:rsidR="007234C8">
        <w:rPr>
          <w:rFonts w:ascii="Times New Roman" w:eastAsia="Times New Roman" w:hAnsi="Times New Roman" w:cs="Times New Roman"/>
          <w:sz w:val="28"/>
          <w:szCs w:val="28"/>
        </w:rPr>
        <w:t xml:space="preserve">кошти в сумі </w:t>
      </w:r>
      <w:r w:rsidR="008C2957">
        <w:rPr>
          <w:rFonts w:ascii="Times New Roman" w:eastAsia="Times New Roman" w:hAnsi="Times New Roman" w:cs="Times New Roman"/>
          <w:sz w:val="28"/>
          <w:szCs w:val="28"/>
        </w:rPr>
        <w:t>2 206,8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>тис.грн.</w:t>
      </w:r>
      <w:r w:rsidR="002158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3A3E" w:rsidRPr="00424396">
        <w:rPr>
          <w:rFonts w:ascii="Times New Roman" w:eastAsia="Times New Roman" w:hAnsi="Times New Roman" w:cs="Times New Roman"/>
          <w:sz w:val="28"/>
          <w:szCs w:val="28"/>
        </w:rPr>
        <w:t xml:space="preserve">Передбачені видатки для розрахунків за енергоносії та комунальні послуги, що будуть споживатись установами галузі в сумі </w:t>
      </w:r>
      <w:r w:rsidR="008C2957">
        <w:rPr>
          <w:rFonts w:ascii="Times New Roman" w:eastAsia="Times New Roman" w:hAnsi="Times New Roman" w:cs="Times New Roman"/>
          <w:sz w:val="28"/>
          <w:szCs w:val="28"/>
        </w:rPr>
        <w:t>1 956,8</w:t>
      </w:r>
      <w:r w:rsidR="00A83A3E">
        <w:rPr>
          <w:rFonts w:ascii="Times New Roman" w:eastAsia="Times New Roman" w:hAnsi="Times New Roman" w:cs="Times New Roman"/>
          <w:sz w:val="28"/>
          <w:szCs w:val="28"/>
        </w:rPr>
        <w:t xml:space="preserve">тис.грн., </w:t>
      </w:r>
      <w:r w:rsidR="008C295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D4C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580B">
        <w:rPr>
          <w:rFonts w:ascii="Times New Roman" w:eastAsia="Times New Roman" w:hAnsi="Times New Roman" w:cs="Times New Roman"/>
          <w:sz w:val="28"/>
          <w:szCs w:val="28"/>
        </w:rPr>
        <w:t>,0 тис. грн</w:t>
      </w:r>
      <w:r w:rsidR="00A83A3E">
        <w:rPr>
          <w:rFonts w:ascii="Times New Roman" w:eastAsia="Times New Roman" w:hAnsi="Times New Roman" w:cs="Times New Roman"/>
          <w:sz w:val="28"/>
          <w:szCs w:val="28"/>
        </w:rPr>
        <w:t>. – на безкоштовні медикаменти пільговим категоріям населення.</w:t>
      </w:r>
    </w:p>
    <w:p w:rsidR="00854580" w:rsidRPr="00424396" w:rsidRDefault="00854580" w:rsidP="0021580B">
      <w:pPr>
        <w:spacing w:line="14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80" w:rsidRPr="00424396" w:rsidRDefault="00854580" w:rsidP="0021580B">
      <w:pPr>
        <w:spacing w:line="17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80" w:rsidRPr="00424396" w:rsidRDefault="00A83A3E" w:rsidP="0021580B">
      <w:pPr>
        <w:spacing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Первинна медична допомога, що є на території громади повністю фінансується із НСОЗ.</w:t>
      </w:r>
    </w:p>
    <w:p w:rsidR="00854580" w:rsidRPr="00424396" w:rsidRDefault="00854580" w:rsidP="00424396">
      <w:pPr>
        <w:spacing w:line="307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21580B" w:rsidRDefault="00ED0E5E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1580B">
        <w:rPr>
          <w:rFonts w:ascii="Times New Roman" w:eastAsia="Times New Roman" w:hAnsi="Times New Roman"/>
          <w:b/>
          <w:sz w:val="32"/>
          <w:szCs w:val="32"/>
        </w:rPr>
        <w:t>Соціальний захист та соціальне забезпечення</w:t>
      </w:r>
    </w:p>
    <w:p w:rsidR="00BC6692" w:rsidRPr="0021580B" w:rsidRDefault="00BC6692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E3357" w:rsidRDefault="00ED0E5E" w:rsidP="0021580B">
      <w:pPr>
        <w:spacing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 xml:space="preserve">На утримання установ соціального забезпечення з </w:t>
      </w:r>
      <w:r w:rsidR="00085196" w:rsidRPr="00424396">
        <w:rPr>
          <w:rFonts w:ascii="Times New Roman" w:eastAsia="Times New Roman" w:hAnsi="Times New Roman"/>
          <w:sz w:val="28"/>
          <w:szCs w:val="28"/>
        </w:rPr>
        <w:t>селищного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 бюджету передбачається</w:t>
      </w:r>
      <w:r w:rsidR="003B00F8">
        <w:rPr>
          <w:rFonts w:ascii="Times New Roman" w:eastAsia="Times New Roman" w:hAnsi="Times New Roman"/>
          <w:sz w:val="28"/>
          <w:szCs w:val="28"/>
        </w:rPr>
        <w:t>1</w:t>
      </w:r>
      <w:r w:rsidR="008C2957">
        <w:rPr>
          <w:rFonts w:ascii="Times New Roman" w:eastAsia="Times New Roman" w:hAnsi="Times New Roman"/>
          <w:sz w:val="28"/>
          <w:szCs w:val="28"/>
        </w:rPr>
        <w:t> 980,1</w:t>
      </w:r>
      <w:r w:rsidRPr="00424396">
        <w:rPr>
          <w:rFonts w:ascii="Times New Roman" w:eastAsia="Times New Roman" w:hAnsi="Times New Roman"/>
          <w:sz w:val="28"/>
          <w:szCs w:val="28"/>
        </w:rPr>
        <w:t>тис.грн</w:t>
      </w:r>
      <w:r w:rsidR="00337B6D">
        <w:rPr>
          <w:rFonts w:ascii="Times New Roman" w:eastAsia="Times New Roman" w:hAnsi="Times New Roman"/>
          <w:sz w:val="28"/>
          <w:szCs w:val="28"/>
        </w:rPr>
        <w:t>.</w:t>
      </w:r>
      <w:r w:rsidR="0021580B">
        <w:rPr>
          <w:rFonts w:ascii="Times New Roman" w:eastAsia="Times New Roman" w:hAnsi="Times New Roman"/>
          <w:sz w:val="28"/>
          <w:szCs w:val="28"/>
        </w:rPr>
        <w:t>.</w:t>
      </w:r>
    </w:p>
    <w:p w:rsidR="0024777A" w:rsidRPr="00424396" w:rsidRDefault="0024777A" w:rsidP="0021580B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 xml:space="preserve">На утримання </w:t>
      </w:r>
      <w:proofErr w:type="spellStart"/>
      <w:r w:rsidRPr="00424396">
        <w:rPr>
          <w:rFonts w:ascii="Times New Roman" w:eastAsia="Times New Roman" w:hAnsi="Times New Roman"/>
          <w:sz w:val="28"/>
          <w:szCs w:val="28"/>
        </w:rPr>
        <w:t>КЗ</w:t>
      </w:r>
      <w:proofErr w:type="spellEnd"/>
      <w:r w:rsidRPr="00424396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424396">
        <w:rPr>
          <w:rFonts w:ascii="Times New Roman" w:eastAsia="Times New Roman" w:hAnsi="Times New Roman"/>
          <w:sz w:val="28"/>
          <w:szCs w:val="28"/>
        </w:rPr>
        <w:t>Гніздичівський</w:t>
      </w:r>
      <w:proofErr w:type="spellEnd"/>
      <w:r w:rsidRPr="00424396">
        <w:rPr>
          <w:rFonts w:ascii="Times New Roman" w:eastAsia="Times New Roman" w:hAnsi="Times New Roman"/>
          <w:sz w:val="28"/>
          <w:szCs w:val="28"/>
        </w:rPr>
        <w:t xml:space="preserve"> центру </w:t>
      </w:r>
      <w:r>
        <w:rPr>
          <w:rFonts w:ascii="Times New Roman" w:eastAsia="Times New Roman" w:hAnsi="Times New Roman"/>
          <w:sz w:val="28"/>
          <w:szCs w:val="28"/>
        </w:rPr>
        <w:t xml:space="preserve">надання </w:t>
      </w:r>
      <w:r w:rsidRPr="00424396">
        <w:rPr>
          <w:rFonts w:ascii="Times New Roman" w:eastAsia="Times New Roman" w:hAnsi="Times New Roman"/>
          <w:sz w:val="28"/>
          <w:szCs w:val="28"/>
        </w:rPr>
        <w:t>соціальн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  послуг</w:t>
      </w:r>
      <w:r w:rsidR="0021580B">
        <w:rPr>
          <w:rFonts w:ascii="Times New Roman" w:eastAsia="Times New Roman" w:hAnsi="Times New Roman"/>
          <w:sz w:val="28"/>
          <w:szCs w:val="28"/>
        </w:rPr>
        <w:t>»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 передбачено </w:t>
      </w:r>
      <w:r>
        <w:rPr>
          <w:rFonts w:ascii="Times New Roman" w:eastAsia="Times New Roman" w:hAnsi="Times New Roman"/>
          <w:sz w:val="28"/>
          <w:szCs w:val="28"/>
        </w:rPr>
        <w:t xml:space="preserve"> в селищному бюджеті 1 458,1 </w:t>
      </w:r>
      <w:proofErr w:type="spellStart"/>
      <w:r w:rsidRPr="00424396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24396">
        <w:rPr>
          <w:rFonts w:ascii="Times New Roman" w:eastAsia="Times New Roman" w:hAnsi="Times New Roman"/>
          <w:sz w:val="28"/>
          <w:szCs w:val="28"/>
        </w:rPr>
        <w:t>коштів загального фонду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777A" w:rsidRPr="00424396" w:rsidRDefault="0024777A" w:rsidP="0021580B">
      <w:pPr>
        <w:spacing w:line="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4777A" w:rsidRDefault="0024777A" w:rsidP="0021580B">
      <w:pPr>
        <w:spacing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На виплату заробітної плати планується спрямувати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1381,0 </w:t>
      </w:r>
      <w:proofErr w:type="spellStart"/>
      <w:r w:rsidRPr="00424396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42439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94,7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 xml:space="preserve">%), на енергоносії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20,9 </w:t>
      </w:r>
      <w:proofErr w:type="spellStart"/>
      <w:r w:rsidRPr="00424396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42439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424396">
        <w:rPr>
          <w:rFonts w:ascii="Times New Roman" w:eastAsia="Times New Roman" w:hAnsi="Times New Roman" w:cs="Times New Roman"/>
          <w:sz w:val="28"/>
          <w:szCs w:val="28"/>
        </w:rPr>
        <w:t>%) від загальних видатків.</w:t>
      </w:r>
      <w:r w:rsidRPr="00424396">
        <w:rPr>
          <w:rFonts w:ascii="Times New Roman" w:hAnsi="Times New Roman" w:cs="Times New Roman"/>
          <w:sz w:val="28"/>
          <w:szCs w:val="28"/>
        </w:rPr>
        <w:t xml:space="preserve"> Передбачені асигнування забезпечують в повному обсязі  потребу на оплату праці.</w:t>
      </w:r>
    </w:p>
    <w:p w:rsidR="0024777A" w:rsidRPr="00424396" w:rsidRDefault="0024777A" w:rsidP="0021580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4396">
        <w:rPr>
          <w:rFonts w:ascii="Times New Roman" w:hAnsi="Times New Roman" w:cs="Times New Roman"/>
          <w:iCs/>
          <w:sz w:val="28"/>
          <w:szCs w:val="28"/>
        </w:rPr>
        <w:t>Джерел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формування спеціального фонду є власні надходження бюджетних установ  </w:t>
      </w:r>
      <w:r>
        <w:rPr>
          <w:rFonts w:ascii="Times New Roman" w:hAnsi="Times New Roman" w:cs="Times New Roman"/>
          <w:iCs/>
          <w:sz w:val="28"/>
          <w:szCs w:val="28"/>
        </w:rPr>
        <w:t>в сумі 9,0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тис. грн.</w:t>
      </w:r>
      <w:r w:rsidR="0021580B">
        <w:rPr>
          <w:rFonts w:ascii="Times New Roman" w:hAnsi="Times New Roman" w:cs="Times New Roman"/>
          <w:iCs/>
          <w:sz w:val="28"/>
          <w:szCs w:val="28"/>
        </w:rPr>
        <w:t>.</w:t>
      </w:r>
    </w:p>
    <w:p w:rsidR="00590FAD" w:rsidRDefault="00590FAD" w:rsidP="0021580B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 xml:space="preserve">На надання </w:t>
      </w:r>
      <w:proofErr w:type="spellStart"/>
      <w:r w:rsidRPr="00424396">
        <w:rPr>
          <w:rFonts w:ascii="Times New Roman" w:eastAsia="Times New Roman" w:hAnsi="Times New Roman"/>
          <w:sz w:val="28"/>
          <w:szCs w:val="28"/>
        </w:rPr>
        <w:t>допомог</w:t>
      </w:r>
      <w:proofErr w:type="spellEnd"/>
      <w:r w:rsidRPr="00424396">
        <w:rPr>
          <w:rFonts w:ascii="Times New Roman" w:eastAsia="Times New Roman" w:hAnsi="Times New Roman"/>
          <w:sz w:val="28"/>
          <w:szCs w:val="28"/>
        </w:rPr>
        <w:t xml:space="preserve"> окре</w:t>
      </w:r>
      <w:r w:rsidR="0021580B">
        <w:rPr>
          <w:rFonts w:ascii="Times New Roman" w:eastAsia="Times New Roman" w:hAnsi="Times New Roman"/>
          <w:sz w:val="28"/>
          <w:szCs w:val="28"/>
        </w:rPr>
        <w:t>мим категоріям громадян громади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, в тому числі </w:t>
      </w:r>
      <w:r w:rsidR="00134A8E" w:rsidRPr="00134A8E">
        <w:rPr>
          <w:rFonts w:ascii="Times New Roman" w:eastAsia="Times New Roman" w:hAnsi="Times New Roman"/>
          <w:sz w:val="28"/>
          <w:szCs w:val="28"/>
        </w:rPr>
        <w:t>соціальної підтримки військовослужбовц</w:t>
      </w:r>
      <w:r w:rsidR="0021580B">
        <w:rPr>
          <w:rFonts w:ascii="Times New Roman" w:eastAsia="Times New Roman" w:hAnsi="Times New Roman"/>
          <w:sz w:val="28"/>
          <w:szCs w:val="28"/>
        </w:rPr>
        <w:t>ям</w:t>
      </w:r>
      <w:r w:rsidR="00134A8E" w:rsidRPr="00134A8E">
        <w:rPr>
          <w:rFonts w:ascii="Times New Roman" w:eastAsia="Times New Roman" w:hAnsi="Times New Roman"/>
          <w:sz w:val="28"/>
          <w:szCs w:val="28"/>
        </w:rPr>
        <w:t xml:space="preserve">, які проходять чи проходили військову службу під час військового стану в Україні  та родин загиблих, померлих, зниклих безвісти захисників України внаслідок агресії російської федерації проти України 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передбачено </w:t>
      </w:r>
      <w:r w:rsidR="00134A8E">
        <w:rPr>
          <w:rFonts w:ascii="Times New Roman" w:eastAsia="Times New Roman" w:hAnsi="Times New Roman"/>
          <w:sz w:val="28"/>
          <w:szCs w:val="28"/>
        </w:rPr>
        <w:t>5</w:t>
      </w:r>
      <w:r w:rsidR="00337B6D">
        <w:rPr>
          <w:rFonts w:ascii="Times New Roman" w:eastAsia="Times New Roman" w:hAnsi="Times New Roman"/>
          <w:sz w:val="28"/>
          <w:szCs w:val="28"/>
        </w:rPr>
        <w:t>0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0,0 тис. </w:t>
      </w:r>
      <w:r w:rsidR="00337B6D">
        <w:rPr>
          <w:rFonts w:ascii="Times New Roman" w:eastAsia="Times New Roman" w:hAnsi="Times New Roman"/>
          <w:sz w:val="28"/>
          <w:szCs w:val="28"/>
        </w:rPr>
        <w:t>грн.</w:t>
      </w:r>
      <w:r w:rsidR="0021580B">
        <w:rPr>
          <w:rFonts w:ascii="Times New Roman" w:eastAsia="Times New Roman" w:hAnsi="Times New Roman"/>
          <w:sz w:val="28"/>
          <w:szCs w:val="28"/>
        </w:rPr>
        <w:t>.</w:t>
      </w:r>
    </w:p>
    <w:p w:rsidR="00134A8E" w:rsidRDefault="00134A8E" w:rsidP="0021580B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компенсацію витрат за</w:t>
      </w:r>
      <w:r w:rsidRPr="00134A8E">
        <w:rPr>
          <w:rFonts w:ascii="Times New Roman" w:eastAsia="Times New Roman" w:hAnsi="Times New Roman"/>
          <w:sz w:val="28"/>
          <w:szCs w:val="28"/>
        </w:rPr>
        <w:t xml:space="preserve"> надання пільг окремим категоріям громадян за послуги зв’язку</w:t>
      </w:r>
      <w:r>
        <w:rPr>
          <w:rFonts w:ascii="Times New Roman" w:eastAsia="Times New Roman" w:hAnsi="Times New Roman"/>
          <w:sz w:val="28"/>
          <w:szCs w:val="28"/>
        </w:rPr>
        <w:t xml:space="preserve"> передбачено в селищному бюджеті 2,0 тис. грн.</w:t>
      </w:r>
      <w:r w:rsidR="0021580B">
        <w:rPr>
          <w:rFonts w:ascii="Times New Roman" w:eastAsia="Times New Roman" w:hAnsi="Times New Roman"/>
          <w:sz w:val="28"/>
          <w:szCs w:val="28"/>
        </w:rPr>
        <w:t>.</w:t>
      </w:r>
    </w:p>
    <w:p w:rsidR="00F805C3" w:rsidRPr="00424396" w:rsidRDefault="003A31CF" w:rsidP="0021580B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компенсацію виплат за пільговий проїзд окремих категорій </w:t>
      </w:r>
      <w:r w:rsidR="008C2957">
        <w:rPr>
          <w:rFonts w:ascii="Times New Roman" w:eastAsia="Times New Roman" w:hAnsi="Times New Roman"/>
          <w:sz w:val="28"/>
          <w:szCs w:val="28"/>
        </w:rPr>
        <w:t>громадян</w:t>
      </w:r>
      <w:r>
        <w:rPr>
          <w:rFonts w:ascii="Times New Roman" w:eastAsia="Times New Roman" w:hAnsi="Times New Roman"/>
          <w:sz w:val="28"/>
          <w:szCs w:val="28"/>
        </w:rPr>
        <w:t xml:space="preserve"> на залізничному транспорті передбачено в селищному бюджеті </w:t>
      </w:r>
      <w:r w:rsidR="008C295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21580B">
        <w:rPr>
          <w:rFonts w:ascii="Times New Roman" w:eastAsia="Times New Roman" w:hAnsi="Times New Roman"/>
          <w:sz w:val="28"/>
          <w:szCs w:val="28"/>
        </w:rPr>
        <w:t>.</w:t>
      </w:r>
    </w:p>
    <w:p w:rsidR="00854580" w:rsidRPr="00424396" w:rsidRDefault="00854580" w:rsidP="0021580B">
      <w:pPr>
        <w:spacing w:line="17" w:lineRule="exact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424396" w:rsidRDefault="00854580" w:rsidP="0021580B">
      <w:pPr>
        <w:spacing w:line="17" w:lineRule="exact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424396" w:rsidRDefault="00854580" w:rsidP="0021580B">
      <w:pPr>
        <w:spacing w:line="14" w:lineRule="exact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424396" w:rsidRDefault="00854580" w:rsidP="0021580B">
      <w:pPr>
        <w:spacing w:line="9" w:lineRule="exact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BC6692" w:rsidRDefault="00BC6692" w:rsidP="0021580B">
      <w:pPr>
        <w:spacing w:line="0" w:lineRule="atLeast"/>
        <w:ind w:left="428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4580" w:rsidRPr="009A46CC" w:rsidRDefault="00ED0E5E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A46CC">
        <w:rPr>
          <w:rFonts w:ascii="Times New Roman" w:eastAsia="Times New Roman" w:hAnsi="Times New Roman"/>
          <w:b/>
          <w:sz w:val="32"/>
          <w:szCs w:val="32"/>
        </w:rPr>
        <w:t>Культура і мистецтво</w:t>
      </w:r>
    </w:p>
    <w:p w:rsidR="00C50907" w:rsidRPr="0021580B" w:rsidRDefault="00C50907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54580" w:rsidRPr="003B00F8" w:rsidRDefault="00ED0E5E" w:rsidP="0021580B">
      <w:pPr>
        <w:spacing w:line="235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581914">
        <w:rPr>
          <w:rFonts w:ascii="Times New Roman" w:eastAsia="Times New Roman" w:hAnsi="Times New Roman"/>
          <w:sz w:val="28"/>
          <w:szCs w:val="28"/>
        </w:rPr>
        <w:t xml:space="preserve">Загальний обсяг видатків на культуру в </w:t>
      </w:r>
      <w:r w:rsidR="00126390" w:rsidRPr="00581914">
        <w:rPr>
          <w:rFonts w:ascii="Times New Roman" w:eastAsia="Times New Roman" w:hAnsi="Times New Roman"/>
          <w:sz w:val="28"/>
          <w:szCs w:val="28"/>
        </w:rPr>
        <w:t>селищному</w:t>
      </w:r>
      <w:r w:rsidRPr="00581914">
        <w:rPr>
          <w:rFonts w:ascii="Times New Roman" w:eastAsia="Times New Roman" w:hAnsi="Times New Roman"/>
          <w:sz w:val="28"/>
          <w:szCs w:val="28"/>
        </w:rPr>
        <w:t xml:space="preserve"> бюджеті на 20</w:t>
      </w:r>
      <w:r w:rsidR="003B00F8">
        <w:rPr>
          <w:rFonts w:ascii="Times New Roman" w:eastAsia="Times New Roman" w:hAnsi="Times New Roman"/>
          <w:sz w:val="28"/>
          <w:szCs w:val="28"/>
        </w:rPr>
        <w:t>2</w:t>
      </w:r>
      <w:r w:rsidR="001373F7">
        <w:rPr>
          <w:rFonts w:ascii="Times New Roman" w:eastAsia="Times New Roman" w:hAnsi="Times New Roman"/>
          <w:sz w:val="28"/>
          <w:szCs w:val="28"/>
        </w:rPr>
        <w:t>3</w:t>
      </w:r>
      <w:r w:rsidRPr="00581914">
        <w:rPr>
          <w:rFonts w:ascii="Times New Roman" w:eastAsia="Times New Roman" w:hAnsi="Times New Roman"/>
          <w:sz w:val="28"/>
          <w:szCs w:val="28"/>
        </w:rPr>
        <w:t xml:space="preserve"> рік становить</w:t>
      </w:r>
      <w:r w:rsidR="00922945">
        <w:rPr>
          <w:rFonts w:ascii="Times New Roman" w:eastAsia="Times New Roman" w:hAnsi="Times New Roman"/>
          <w:sz w:val="28"/>
          <w:szCs w:val="28"/>
        </w:rPr>
        <w:t>3</w:t>
      </w:r>
      <w:r w:rsidR="00BB0ABF">
        <w:rPr>
          <w:rFonts w:ascii="Times New Roman" w:eastAsia="Times New Roman" w:hAnsi="Times New Roman"/>
          <w:sz w:val="28"/>
          <w:szCs w:val="28"/>
        </w:rPr>
        <w:t> </w:t>
      </w:r>
      <w:r w:rsidR="00922945">
        <w:rPr>
          <w:rFonts w:ascii="Times New Roman" w:eastAsia="Times New Roman" w:hAnsi="Times New Roman"/>
          <w:sz w:val="28"/>
          <w:szCs w:val="28"/>
        </w:rPr>
        <w:t>1</w:t>
      </w:r>
      <w:r w:rsidR="00BB0ABF">
        <w:rPr>
          <w:rFonts w:ascii="Times New Roman" w:eastAsia="Times New Roman" w:hAnsi="Times New Roman"/>
          <w:sz w:val="28"/>
          <w:szCs w:val="28"/>
        </w:rPr>
        <w:t>53,8</w:t>
      </w:r>
      <w:r w:rsidRPr="003B00F8">
        <w:rPr>
          <w:rFonts w:ascii="Times New Roman" w:eastAsia="Times New Roman" w:hAnsi="Times New Roman"/>
          <w:sz w:val="28"/>
          <w:szCs w:val="28"/>
        </w:rPr>
        <w:t>тис. грн.</w:t>
      </w:r>
      <w:r w:rsidR="0021580B">
        <w:rPr>
          <w:rFonts w:ascii="Times New Roman" w:eastAsia="Times New Roman" w:hAnsi="Times New Roman"/>
          <w:sz w:val="28"/>
          <w:szCs w:val="28"/>
        </w:rPr>
        <w:t>.</w:t>
      </w:r>
    </w:p>
    <w:p w:rsidR="00854580" w:rsidRPr="00581914" w:rsidRDefault="00854580" w:rsidP="0021580B">
      <w:pPr>
        <w:spacing w:line="10" w:lineRule="exact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581914" w:rsidRDefault="00ED0E5E" w:rsidP="0021580B">
      <w:pPr>
        <w:spacing w:line="234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581914">
        <w:rPr>
          <w:rFonts w:ascii="Times New Roman" w:eastAsia="Times New Roman" w:hAnsi="Times New Roman"/>
          <w:sz w:val="28"/>
          <w:szCs w:val="28"/>
        </w:rPr>
        <w:t xml:space="preserve">На виплату заробітної плати працівникам установ культури передбачено </w:t>
      </w:r>
      <w:r w:rsidR="00922945">
        <w:rPr>
          <w:rFonts w:ascii="Times New Roman" w:eastAsia="Times New Roman" w:hAnsi="Times New Roman"/>
          <w:sz w:val="28"/>
          <w:szCs w:val="28"/>
        </w:rPr>
        <w:t xml:space="preserve">2 637,0 </w:t>
      </w:r>
      <w:proofErr w:type="spellStart"/>
      <w:r w:rsidRPr="00581914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 w:rsidRPr="00581914">
        <w:rPr>
          <w:rFonts w:ascii="Times New Roman" w:eastAsia="Times New Roman" w:hAnsi="Times New Roman"/>
          <w:sz w:val="28"/>
          <w:szCs w:val="28"/>
        </w:rPr>
        <w:t xml:space="preserve">.( </w:t>
      </w:r>
      <w:r w:rsidR="00922945">
        <w:rPr>
          <w:rFonts w:ascii="Times New Roman" w:eastAsia="Times New Roman" w:hAnsi="Times New Roman"/>
          <w:sz w:val="28"/>
          <w:szCs w:val="28"/>
        </w:rPr>
        <w:t>8</w:t>
      </w:r>
      <w:r w:rsidR="00BB0ABF">
        <w:rPr>
          <w:rFonts w:ascii="Times New Roman" w:eastAsia="Times New Roman" w:hAnsi="Times New Roman"/>
          <w:sz w:val="28"/>
          <w:szCs w:val="28"/>
        </w:rPr>
        <w:t>4</w:t>
      </w:r>
      <w:r w:rsidRPr="00581914">
        <w:rPr>
          <w:rFonts w:ascii="Times New Roman" w:eastAsia="Times New Roman" w:hAnsi="Times New Roman"/>
          <w:sz w:val="28"/>
          <w:szCs w:val="28"/>
        </w:rPr>
        <w:t xml:space="preserve">% у структурі видатків), на оплату за спожиті енергоносії направлено </w:t>
      </w:r>
      <w:r w:rsidR="00922945">
        <w:rPr>
          <w:rFonts w:ascii="Times New Roman" w:eastAsia="Times New Roman" w:hAnsi="Times New Roman"/>
          <w:sz w:val="28"/>
          <w:szCs w:val="28"/>
        </w:rPr>
        <w:t>238,</w:t>
      </w:r>
      <w:r w:rsidR="00BB0ABF">
        <w:rPr>
          <w:rFonts w:ascii="Times New Roman" w:eastAsia="Times New Roman" w:hAnsi="Times New Roman"/>
          <w:sz w:val="28"/>
          <w:szCs w:val="28"/>
        </w:rPr>
        <w:t>4</w:t>
      </w:r>
      <w:r w:rsidRPr="00581914">
        <w:rPr>
          <w:rFonts w:ascii="Times New Roman" w:eastAsia="Times New Roman" w:hAnsi="Times New Roman"/>
          <w:sz w:val="28"/>
          <w:szCs w:val="28"/>
        </w:rPr>
        <w:t>тис.грн. (</w:t>
      </w:r>
      <w:r w:rsidR="00922945">
        <w:rPr>
          <w:rFonts w:ascii="Times New Roman" w:eastAsia="Times New Roman" w:hAnsi="Times New Roman"/>
          <w:sz w:val="28"/>
          <w:szCs w:val="28"/>
        </w:rPr>
        <w:t>7</w:t>
      </w:r>
      <w:r w:rsidRPr="00581914">
        <w:rPr>
          <w:rFonts w:ascii="Times New Roman" w:eastAsia="Times New Roman" w:hAnsi="Times New Roman"/>
          <w:sz w:val="28"/>
          <w:szCs w:val="28"/>
        </w:rPr>
        <w:t>%).</w:t>
      </w:r>
    </w:p>
    <w:p w:rsidR="00027EC3" w:rsidRDefault="00027EC3" w:rsidP="0021580B">
      <w:pPr>
        <w:spacing w:line="234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1914">
        <w:rPr>
          <w:rFonts w:ascii="Times New Roman" w:hAnsi="Times New Roman" w:cs="Times New Roman"/>
          <w:sz w:val="28"/>
          <w:szCs w:val="28"/>
        </w:rPr>
        <w:t>Планування видатків</w:t>
      </w:r>
      <w:r w:rsidR="00337B6D" w:rsidRPr="00581914">
        <w:rPr>
          <w:rFonts w:ascii="Times New Roman" w:hAnsi="Times New Roman" w:cs="Times New Roman"/>
          <w:sz w:val="28"/>
          <w:szCs w:val="28"/>
        </w:rPr>
        <w:t xml:space="preserve"> на енергоносії</w:t>
      </w:r>
      <w:r w:rsidRPr="00581914">
        <w:rPr>
          <w:rFonts w:ascii="Times New Roman" w:hAnsi="Times New Roman" w:cs="Times New Roman"/>
          <w:sz w:val="28"/>
          <w:szCs w:val="28"/>
        </w:rPr>
        <w:t xml:space="preserve"> проведено з розрахунку обґрунтованих норм споживання з урахуванням тарифів по електроенергії та газопостачання.</w:t>
      </w:r>
    </w:p>
    <w:p w:rsidR="0093485B" w:rsidRDefault="0093485B" w:rsidP="0021580B">
      <w:pPr>
        <w:spacing w:line="234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фінансування програм в галузі культури заплановано кошти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580B">
        <w:rPr>
          <w:rFonts w:ascii="Times New Roman" w:hAnsi="Times New Roman" w:cs="Times New Roman"/>
          <w:sz w:val="28"/>
          <w:szCs w:val="28"/>
        </w:rPr>
        <w:t>.</w:t>
      </w:r>
    </w:p>
    <w:p w:rsidR="0093485B" w:rsidRPr="00424396" w:rsidRDefault="0093485B" w:rsidP="0021580B">
      <w:pPr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4396">
        <w:rPr>
          <w:rFonts w:ascii="Times New Roman" w:hAnsi="Times New Roman" w:cs="Times New Roman"/>
          <w:iCs/>
          <w:sz w:val="28"/>
          <w:szCs w:val="28"/>
        </w:rPr>
        <w:lastRenderedPageBreak/>
        <w:t>Джерел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формування спеціального фонду є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плата за оренду майна бюджетних установ в сумі </w:t>
      </w:r>
      <w:r w:rsidR="00BB0ABF">
        <w:rPr>
          <w:rFonts w:ascii="Times New Roman" w:hAnsi="Times New Roman" w:cs="Times New Roman"/>
          <w:iCs/>
          <w:sz w:val="28"/>
          <w:szCs w:val="28"/>
        </w:rPr>
        <w:t>21,6</w:t>
      </w:r>
      <w:r w:rsidRPr="00424396">
        <w:rPr>
          <w:rFonts w:ascii="Times New Roman" w:hAnsi="Times New Roman" w:cs="Times New Roman"/>
          <w:iCs/>
          <w:sz w:val="28"/>
          <w:szCs w:val="28"/>
        </w:rPr>
        <w:t xml:space="preserve"> тис. грн.</w:t>
      </w:r>
      <w:r w:rsidR="0021580B">
        <w:rPr>
          <w:rFonts w:ascii="Times New Roman" w:hAnsi="Times New Roman" w:cs="Times New Roman"/>
          <w:iCs/>
          <w:sz w:val="28"/>
          <w:szCs w:val="28"/>
        </w:rPr>
        <w:t>.</w:t>
      </w:r>
    </w:p>
    <w:p w:rsidR="0005301C" w:rsidRDefault="0005301C" w:rsidP="0084049C">
      <w:pPr>
        <w:spacing w:line="23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9C" w:rsidRPr="0021580B" w:rsidRDefault="0005301C" w:rsidP="0021580B">
      <w:pPr>
        <w:spacing w:line="23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1580B">
        <w:rPr>
          <w:rFonts w:ascii="Times New Roman" w:eastAsia="Times New Roman" w:hAnsi="Times New Roman"/>
          <w:b/>
          <w:sz w:val="32"/>
          <w:szCs w:val="32"/>
        </w:rPr>
        <w:t>Спорт</w:t>
      </w:r>
    </w:p>
    <w:p w:rsidR="009A46CC" w:rsidRPr="009A46CC" w:rsidRDefault="009A46CC" w:rsidP="0084049C">
      <w:pPr>
        <w:spacing w:line="234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49C" w:rsidRDefault="0084049C" w:rsidP="0021580B">
      <w:pPr>
        <w:tabs>
          <w:tab w:val="left" w:pos="709"/>
        </w:tabs>
        <w:spacing w:line="23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В  бюджеті </w:t>
      </w:r>
      <w:proofErr w:type="spellStart"/>
      <w:r w:rsidRPr="00581914">
        <w:rPr>
          <w:rFonts w:ascii="Times New Roman" w:hAnsi="Times New Roman" w:cs="Times New Roman"/>
          <w:color w:val="000000"/>
          <w:sz w:val="28"/>
          <w:szCs w:val="28"/>
        </w:rPr>
        <w:t>Гніздичівської</w:t>
      </w:r>
      <w:proofErr w:type="spellEnd"/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 на 20</w:t>
      </w:r>
      <w:r w:rsidR="003B00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A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рік передбачено видатки на надання фінансової підтримки спортивним організаціям та футбольним клубам в сумі </w:t>
      </w:r>
      <w:r w:rsidR="00581914" w:rsidRPr="005819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431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1914" w:rsidRPr="0058191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81914">
        <w:rPr>
          <w:rFonts w:ascii="Times New Roman" w:hAnsi="Times New Roman" w:cs="Times New Roman"/>
          <w:color w:val="000000"/>
          <w:sz w:val="28"/>
          <w:szCs w:val="28"/>
        </w:rPr>
        <w:t>тис.грн.</w:t>
      </w:r>
      <w:r w:rsidR="002158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80B" w:rsidRPr="00581914" w:rsidRDefault="0021580B" w:rsidP="0021580B">
      <w:pPr>
        <w:tabs>
          <w:tab w:val="left" w:pos="709"/>
        </w:tabs>
        <w:spacing w:line="23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580" w:rsidRPr="00354BCE" w:rsidRDefault="00854580" w:rsidP="00424396">
      <w:pPr>
        <w:spacing w:line="10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354BCE" w:rsidRDefault="00854580" w:rsidP="00424396">
      <w:pPr>
        <w:spacing w:line="9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4580" w:rsidRPr="00354BCE" w:rsidRDefault="00854580" w:rsidP="00424396">
      <w:pPr>
        <w:spacing w:line="8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762BB" w:rsidRDefault="0005301C" w:rsidP="0021580B">
      <w:pPr>
        <w:pStyle w:val="a6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21580B">
        <w:rPr>
          <w:rFonts w:ascii="Times New Roman" w:eastAsia="Times New Roman" w:hAnsi="Times New Roman"/>
          <w:b/>
          <w:sz w:val="32"/>
          <w:szCs w:val="32"/>
        </w:rPr>
        <w:t>Житлово</w:t>
      </w:r>
      <w:proofErr w:type="spellEnd"/>
      <w:r w:rsidRPr="0021580B">
        <w:rPr>
          <w:rFonts w:ascii="Times New Roman" w:eastAsia="Times New Roman" w:hAnsi="Times New Roman"/>
          <w:b/>
          <w:sz w:val="32"/>
          <w:szCs w:val="32"/>
        </w:rPr>
        <w:t xml:space="preserve"> – комунальне господарство</w:t>
      </w:r>
    </w:p>
    <w:p w:rsidR="0021580B" w:rsidRPr="0021580B" w:rsidRDefault="0021580B" w:rsidP="0021580B">
      <w:pPr>
        <w:pStyle w:val="a6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27EC3" w:rsidRDefault="004762BB" w:rsidP="007843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Бюджетом </w:t>
      </w:r>
      <w:proofErr w:type="spellStart"/>
      <w:r w:rsidRPr="00581914">
        <w:rPr>
          <w:rFonts w:ascii="Times New Roman" w:hAnsi="Times New Roman" w:cs="Times New Roman"/>
          <w:color w:val="000000"/>
          <w:sz w:val="28"/>
          <w:szCs w:val="28"/>
        </w:rPr>
        <w:t>Гніздичівської</w:t>
      </w:r>
      <w:proofErr w:type="spellEnd"/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на 20</w:t>
      </w:r>
      <w:r w:rsidR="003B00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60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рік передбачено видатки по загальному фонду на фінансування житлово-комунального господарства на загальну суму </w:t>
      </w:r>
      <w:r w:rsidR="00922945"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="00C8608D">
        <w:rPr>
          <w:rFonts w:ascii="Times New Roman" w:hAnsi="Times New Roman" w:cs="Times New Roman"/>
          <w:color w:val="000000"/>
          <w:sz w:val="28"/>
          <w:szCs w:val="28"/>
        </w:rPr>
        <w:t>745</w:t>
      </w:r>
      <w:r w:rsidR="00922945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Pr="00581914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581914">
        <w:rPr>
          <w:rFonts w:ascii="Times New Roman" w:hAnsi="Times New Roman" w:cs="Times New Roman"/>
          <w:color w:val="000000"/>
          <w:sz w:val="28"/>
          <w:szCs w:val="28"/>
        </w:rPr>
        <w:t>., з них:</w:t>
      </w:r>
      <w:r w:rsidR="006025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608D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60258C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37B6D" w:rsidRPr="0060258C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- надання фінансової підтримки комунальному підприємству «</w:t>
      </w:r>
      <w:proofErr w:type="spellStart"/>
      <w:r w:rsidR="00337B6D" w:rsidRPr="0060258C">
        <w:rPr>
          <w:rFonts w:ascii="Times New Roman" w:hAnsi="Times New Roman" w:cs="Times New Roman"/>
          <w:color w:val="000000"/>
          <w:sz w:val="28"/>
          <w:szCs w:val="28"/>
        </w:rPr>
        <w:t>Житлокомунпослуги</w:t>
      </w:r>
      <w:proofErr w:type="spellEnd"/>
      <w:r w:rsidR="00337B6D" w:rsidRPr="0060258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025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60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0258C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="0021580B">
        <w:rPr>
          <w:rFonts w:ascii="Times New Roman" w:hAnsi="Times New Roman" w:cs="Times New Roman"/>
          <w:color w:val="000000"/>
          <w:sz w:val="28"/>
          <w:szCs w:val="28"/>
        </w:rPr>
        <w:t xml:space="preserve"> тис. грн..</w:t>
      </w:r>
      <w:r w:rsidR="0078431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8431E" w:rsidRPr="00581914">
        <w:rPr>
          <w:rFonts w:ascii="Times New Roman" w:hAnsi="Times New Roman" w:cs="Times New Roman"/>
          <w:color w:val="000000"/>
          <w:sz w:val="28"/>
          <w:szCs w:val="28"/>
        </w:rPr>
        <w:t>надання фінансової підтримки комунальному підприємству «</w:t>
      </w:r>
      <w:r w:rsidR="0078431E">
        <w:rPr>
          <w:rFonts w:ascii="Times New Roman" w:hAnsi="Times New Roman" w:cs="Times New Roman"/>
          <w:color w:val="000000"/>
          <w:sz w:val="28"/>
          <w:szCs w:val="28"/>
        </w:rPr>
        <w:t>Чисте довкілля</w:t>
      </w:r>
      <w:r w:rsidR="0078431E" w:rsidRPr="005819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58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4C5B">
        <w:rPr>
          <w:rFonts w:ascii="Times New Roman" w:hAnsi="Times New Roman" w:cs="Times New Roman"/>
          <w:color w:val="000000"/>
          <w:sz w:val="28"/>
          <w:szCs w:val="28"/>
        </w:rPr>
        <w:t>483,0</w:t>
      </w:r>
      <w:r w:rsidR="00337B6D"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– оплата </w:t>
      </w:r>
      <w:r w:rsidR="003B00F8">
        <w:rPr>
          <w:rFonts w:ascii="Times New Roman" w:hAnsi="Times New Roman" w:cs="Times New Roman"/>
          <w:color w:val="000000"/>
          <w:sz w:val="28"/>
          <w:szCs w:val="28"/>
        </w:rPr>
        <w:t xml:space="preserve">електроенергії </w:t>
      </w:r>
      <w:r w:rsidR="00337B6D"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вуличного освітлення; </w:t>
      </w:r>
      <w:r w:rsidR="00C8608D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="00337B6D"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– придбання предметів</w:t>
      </w:r>
      <w:r w:rsidR="00581914"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та поточний ремонт об’єктів </w:t>
      </w:r>
      <w:r w:rsidR="00337B6D" w:rsidRPr="00581914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благоустрою.</w:t>
      </w:r>
    </w:p>
    <w:p w:rsidR="00EC538C" w:rsidRPr="00424396" w:rsidRDefault="00EC538C" w:rsidP="004243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C56" w:rsidRPr="0021580B" w:rsidRDefault="00FC16E6" w:rsidP="00424396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1580B">
        <w:rPr>
          <w:rFonts w:ascii="Times New Roman" w:eastAsia="Times New Roman" w:hAnsi="Times New Roman"/>
          <w:b/>
          <w:sz w:val="32"/>
          <w:szCs w:val="32"/>
        </w:rPr>
        <w:t xml:space="preserve">Економічна </w:t>
      </w:r>
      <w:r w:rsidR="00417E0E" w:rsidRPr="0021580B">
        <w:rPr>
          <w:rFonts w:ascii="Times New Roman" w:eastAsia="Times New Roman" w:hAnsi="Times New Roman"/>
          <w:b/>
          <w:sz w:val="32"/>
          <w:szCs w:val="32"/>
        </w:rPr>
        <w:t xml:space="preserve"> та інша діяльність</w:t>
      </w:r>
    </w:p>
    <w:p w:rsidR="00CC4ECD" w:rsidRPr="00424396" w:rsidRDefault="00CC4ECD" w:rsidP="0042439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49C" w:rsidRDefault="0084049C" w:rsidP="0021580B">
      <w:pPr>
        <w:tabs>
          <w:tab w:val="left" w:pos="0"/>
          <w:tab w:val="left" w:pos="38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бюджеті </w:t>
      </w:r>
      <w:proofErr w:type="spellStart"/>
      <w:r w:rsidR="0021580B">
        <w:rPr>
          <w:rFonts w:ascii="Times New Roman" w:hAnsi="Times New Roman" w:cs="Times New Roman"/>
          <w:sz w:val="28"/>
          <w:szCs w:val="28"/>
        </w:rPr>
        <w:t>Гніздичівської</w:t>
      </w:r>
      <w:proofErr w:type="spellEnd"/>
      <w:r w:rsidR="0021580B">
        <w:rPr>
          <w:rFonts w:ascii="Times New Roman" w:hAnsi="Times New Roman" w:cs="Times New Roman"/>
          <w:sz w:val="28"/>
          <w:szCs w:val="28"/>
        </w:rPr>
        <w:t xml:space="preserve"> територіальної </w:t>
      </w:r>
      <w:proofErr w:type="spellStart"/>
      <w:r w:rsidR="0021580B">
        <w:rPr>
          <w:rFonts w:ascii="Times New Roman" w:hAnsi="Times New Roman" w:cs="Times New Roman"/>
          <w:sz w:val="28"/>
          <w:szCs w:val="28"/>
        </w:rPr>
        <w:t>громади</w:t>
      </w:r>
      <w:r w:rsidR="009E5C56" w:rsidRPr="00424396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="009E5C56" w:rsidRPr="00424396">
        <w:rPr>
          <w:rFonts w:ascii="Times New Roman" w:hAnsi="Times New Roman" w:cs="Times New Roman"/>
          <w:sz w:val="28"/>
          <w:szCs w:val="28"/>
        </w:rPr>
        <w:t xml:space="preserve">  видатки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E0E" w:rsidRPr="008F25E3" w:rsidRDefault="0084049C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</w:t>
      </w:r>
      <w:r w:rsidR="00417E0E" w:rsidRPr="008F25E3">
        <w:rPr>
          <w:rFonts w:ascii="Times New Roman" w:hAnsi="Times New Roman" w:cs="Times New Roman"/>
          <w:sz w:val="28"/>
          <w:szCs w:val="28"/>
        </w:rPr>
        <w:t xml:space="preserve"> проведення нормативно грошової оцінки земельних ділянок с.</w:t>
      </w:r>
      <w:r w:rsidR="00303F72" w:rsidRPr="008F25E3">
        <w:rPr>
          <w:rFonts w:ascii="Times New Roman" w:hAnsi="Times New Roman" w:cs="Times New Roman"/>
          <w:sz w:val="28"/>
          <w:szCs w:val="28"/>
        </w:rPr>
        <w:t xml:space="preserve"> Руда, с. </w:t>
      </w:r>
      <w:proofErr w:type="spellStart"/>
      <w:r w:rsidR="00303F72" w:rsidRPr="008F25E3">
        <w:rPr>
          <w:rFonts w:ascii="Times New Roman" w:hAnsi="Times New Roman" w:cs="Times New Roman"/>
          <w:sz w:val="28"/>
          <w:szCs w:val="28"/>
        </w:rPr>
        <w:t>Лівчиці</w:t>
      </w:r>
      <w:proofErr w:type="spellEnd"/>
      <w:r w:rsidR="00303F72" w:rsidRPr="008F25E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03F72" w:rsidRPr="008F25E3">
        <w:rPr>
          <w:rFonts w:ascii="Times New Roman" w:hAnsi="Times New Roman" w:cs="Times New Roman"/>
          <w:sz w:val="28"/>
          <w:szCs w:val="28"/>
        </w:rPr>
        <w:t>Дунаєць</w:t>
      </w:r>
      <w:proofErr w:type="spellEnd"/>
      <w:r w:rsidR="00303F72" w:rsidRPr="008F25E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03F72" w:rsidRPr="008F25E3">
        <w:rPr>
          <w:rFonts w:ascii="Times New Roman" w:hAnsi="Times New Roman" w:cs="Times New Roman"/>
          <w:sz w:val="28"/>
          <w:szCs w:val="28"/>
        </w:rPr>
        <w:t>Корнелівка</w:t>
      </w:r>
      <w:proofErr w:type="spellEnd"/>
      <w:r w:rsidR="00303F72" w:rsidRPr="008F25E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03F72" w:rsidRPr="008F25E3">
        <w:rPr>
          <w:rFonts w:ascii="Times New Roman" w:hAnsi="Times New Roman" w:cs="Times New Roman"/>
          <w:sz w:val="28"/>
          <w:szCs w:val="28"/>
        </w:rPr>
        <w:t>Воля-Облазницька</w:t>
      </w:r>
      <w:proofErr w:type="spellEnd"/>
      <w:r w:rsidR="00303F72" w:rsidRPr="008F25E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03F72" w:rsidRPr="008F25E3">
        <w:rPr>
          <w:rFonts w:ascii="Times New Roman" w:hAnsi="Times New Roman" w:cs="Times New Roman"/>
          <w:sz w:val="28"/>
          <w:szCs w:val="28"/>
        </w:rPr>
        <w:t>Махлінець</w:t>
      </w:r>
      <w:proofErr w:type="spellEnd"/>
      <w:r w:rsidR="00417E0E" w:rsidRPr="008F25E3">
        <w:rPr>
          <w:rFonts w:ascii="Times New Roman" w:hAnsi="Times New Roman" w:cs="Times New Roman"/>
          <w:sz w:val="28"/>
          <w:szCs w:val="28"/>
        </w:rPr>
        <w:t xml:space="preserve"> в сумі 1</w:t>
      </w:r>
      <w:r w:rsidR="00303F72" w:rsidRPr="008F25E3">
        <w:rPr>
          <w:rFonts w:ascii="Times New Roman" w:hAnsi="Times New Roman" w:cs="Times New Roman"/>
          <w:sz w:val="28"/>
          <w:szCs w:val="28"/>
        </w:rPr>
        <w:t>43</w:t>
      </w:r>
      <w:r w:rsidR="00417E0E" w:rsidRPr="008F25E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17E0E" w:rsidRPr="008F25E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17E0E" w:rsidRPr="008F25E3">
        <w:rPr>
          <w:rFonts w:ascii="Times New Roman" w:hAnsi="Times New Roman" w:cs="Times New Roman"/>
          <w:sz w:val="28"/>
          <w:szCs w:val="28"/>
        </w:rPr>
        <w:t>;</w:t>
      </w:r>
    </w:p>
    <w:p w:rsidR="00303F72" w:rsidRPr="008F25E3" w:rsidRDefault="00303F72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виготовлення проекту землеустрою встановлення (зміна) меж населених пунктів с. </w:t>
      </w:r>
      <w:proofErr w:type="spellStart"/>
      <w:r w:rsidRPr="008F25E3">
        <w:rPr>
          <w:rFonts w:ascii="Times New Roman" w:hAnsi="Times New Roman" w:cs="Times New Roman"/>
          <w:sz w:val="28"/>
          <w:szCs w:val="28"/>
        </w:rPr>
        <w:t>Лівчиці</w:t>
      </w:r>
      <w:proofErr w:type="spellEnd"/>
      <w:r w:rsidRPr="008F25E3">
        <w:rPr>
          <w:rFonts w:ascii="Times New Roman" w:hAnsi="Times New Roman" w:cs="Times New Roman"/>
          <w:sz w:val="28"/>
          <w:szCs w:val="28"/>
        </w:rPr>
        <w:t xml:space="preserve">, с. Руда, с. </w:t>
      </w:r>
      <w:proofErr w:type="spellStart"/>
      <w:r w:rsidRPr="008F25E3">
        <w:rPr>
          <w:rFonts w:ascii="Times New Roman" w:hAnsi="Times New Roman" w:cs="Times New Roman"/>
          <w:sz w:val="28"/>
          <w:szCs w:val="28"/>
        </w:rPr>
        <w:t>Ганнівці</w:t>
      </w:r>
      <w:proofErr w:type="spellEnd"/>
      <w:r w:rsidRPr="008F25E3">
        <w:rPr>
          <w:rFonts w:ascii="Times New Roman" w:hAnsi="Times New Roman" w:cs="Times New Roman"/>
          <w:sz w:val="28"/>
          <w:szCs w:val="28"/>
        </w:rPr>
        <w:t xml:space="preserve"> в сумі 147,0 тис. грн.;</w:t>
      </w:r>
    </w:p>
    <w:p w:rsidR="00BA00F7" w:rsidRPr="008F25E3" w:rsidRDefault="00BA00F7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color w:val="01084B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сплату членських внесків до </w:t>
      </w:r>
      <w:r w:rsidR="009A46CC" w:rsidRPr="008F25E3">
        <w:rPr>
          <w:rFonts w:ascii="Times New Roman" w:hAnsi="Times New Roman" w:cs="Times New Roman"/>
          <w:sz w:val="28"/>
          <w:szCs w:val="28"/>
        </w:rPr>
        <w:t>А</w:t>
      </w:r>
      <w:r w:rsidRPr="008F25E3">
        <w:rPr>
          <w:rFonts w:ascii="Times New Roman" w:hAnsi="Times New Roman" w:cs="Times New Roman"/>
          <w:sz w:val="28"/>
          <w:szCs w:val="28"/>
        </w:rPr>
        <w:t xml:space="preserve">соціації </w:t>
      </w:r>
      <w:r w:rsidR="009A46CC" w:rsidRPr="008F25E3">
        <w:rPr>
          <w:rFonts w:ascii="Times New Roman" w:hAnsi="Times New Roman" w:cs="Times New Roman"/>
          <w:sz w:val="28"/>
          <w:szCs w:val="28"/>
        </w:rPr>
        <w:t xml:space="preserve">ОТГ та асоціації «Рада </w:t>
      </w:r>
      <w:proofErr w:type="spellStart"/>
      <w:r w:rsidR="009A46CC" w:rsidRPr="008F25E3">
        <w:rPr>
          <w:rFonts w:ascii="Times New Roman" w:hAnsi="Times New Roman" w:cs="Times New Roman"/>
          <w:sz w:val="28"/>
          <w:szCs w:val="28"/>
        </w:rPr>
        <w:t>Львівщини»в</w:t>
      </w:r>
      <w:proofErr w:type="spellEnd"/>
      <w:r w:rsidRPr="008F25E3">
        <w:rPr>
          <w:rFonts w:ascii="Times New Roman" w:hAnsi="Times New Roman" w:cs="Times New Roman"/>
          <w:sz w:val="28"/>
          <w:szCs w:val="28"/>
        </w:rPr>
        <w:t xml:space="preserve"> сум</w:t>
      </w:r>
      <w:r w:rsidR="009A46CC" w:rsidRPr="008F25E3">
        <w:rPr>
          <w:rFonts w:ascii="Times New Roman" w:hAnsi="Times New Roman" w:cs="Times New Roman"/>
          <w:sz w:val="28"/>
          <w:szCs w:val="28"/>
        </w:rPr>
        <w:t>і</w:t>
      </w:r>
      <w:r w:rsidR="00303F72" w:rsidRPr="008F25E3">
        <w:rPr>
          <w:rFonts w:ascii="Times New Roman" w:hAnsi="Times New Roman" w:cs="Times New Roman"/>
          <w:sz w:val="28"/>
          <w:szCs w:val="28"/>
        </w:rPr>
        <w:t xml:space="preserve"> 37,4</w:t>
      </w:r>
      <w:r w:rsidRPr="008F25E3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Pr="008F25E3">
        <w:rPr>
          <w:color w:val="01084B"/>
        </w:rPr>
        <w:t>.;</w:t>
      </w:r>
    </w:p>
    <w:p w:rsidR="00CC4ECD" w:rsidRDefault="00CC4ECD" w:rsidP="008F25E3">
      <w:pPr>
        <w:pStyle w:val="21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2439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поточного ремонту автомобільних доріг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значення  в сумі 1</w:t>
      </w:r>
      <w:r w:rsidR="00A5764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645">
        <w:rPr>
          <w:rFonts w:ascii="Times New Roman" w:hAnsi="Times New Roman" w:cs="Times New Roman"/>
          <w:color w:val="000000"/>
          <w:sz w:val="28"/>
          <w:szCs w:val="28"/>
        </w:rPr>
        <w:t>28,1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тис. грн.;</w:t>
      </w:r>
    </w:p>
    <w:p w:rsidR="0084049C" w:rsidRPr="008F25E3" w:rsidRDefault="00BA00F7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</w:t>
      </w:r>
      <w:r w:rsidR="0084049C" w:rsidRPr="008F25E3">
        <w:rPr>
          <w:rFonts w:ascii="Times New Roman" w:hAnsi="Times New Roman" w:cs="Times New Roman"/>
          <w:sz w:val="28"/>
          <w:szCs w:val="28"/>
        </w:rPr>
        <w:t xml:space="preserve">ліквідацію та запобігання надзвичайних ситуацій </w:t>
      </w:r>
      <w:r w:rsidR="009E5C56" w:rsidRPr="008F25E3">
        <w:rPr>
          <w:rFonts w:ascii="Times New Roman" w:hAnsi="Times New Roman" w:cs="Times New Roman"/>
          <w:sz w:val="28"/>
          <w:szCs w:val="28"/>
        </w:rPr>
        <w:t xml:space="preserve">в  сумі   </w:t>
      </w:r>
      <w:r w:rsidR="00303F72" w:rsidRPr="008F25E3">
        <w:rPr>
          <w:rFonts w:ascii="Times New Roman" w:hAnsi="Times New Roman" w:cs="Times New Roman"/>
          <w:sz w:val="28"/>
          <w:szCs w:val="28"/>
        </w:rPr>
        <w:t>5</w:t>
      </w:r>
      <w:r w:rsidR="0078431E" w:rsidRPr="008F25E3">
        <w:rPr>
          <w:rFonts w:ascii="Times New Roman" w:hAnsi="Times New Roman" w:cs="Times New Roman"/>
          <w:sz w:val="28"/>
          <w:szCs w:val="28"/>
        </w:rPr>
        <w:t>0</w:t>
      </w:r>
      <w:r w:rsidR="009E5C56" w:rsidRPr="008F25E3">
        <w:rPr>
          <w:rFonts w:ascii="Times New Roman" w:hAnsi="Times New Roman" w:cs="Times New Roman"/>
          <w:sz w:val="28"/>
          <w:szCs w:val="28"/>
        </w:rPr>
        <w:t>,0 тис. грн</w:t>
      </w:r>
      <w:r w:rsidR="0084049C" w:rsidRPr="008F25E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E5C56" w:rsidRPr="008F25E3" w:rsidRDefault="009E5C56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фінансування програми мобілізаційної підготовки в сумі – </w:t>
      </w:r>
      <w:r w:rsidR="009A46CC" w:rsidRPr="008F25E3">
        <w:rPr>
          <w:rFonts w:ascii="Times New Roman" w:hAnsi="Times New Roman" w:cs="Times New Roman"/>
          <w:sz w:val="28"/>
          <w:szCs w:val="28"/>
        </w:rPr>
        <w:t>5</w:t>
      </w:r>
      <w:r w:rsidRPr="008F25E3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8F25E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F25E3">
        <w:rPr>
          <w:rFonts w:ascii="Times New Roman" w:hAnsi="Times New Roman" w:cs="Times New Roman"/>
          <w:sz w:val="28"/>
          <w:szCs w:val="28"/>
        </w:rPr>
        <w:t>.;</w:t>
      </w:r>
    </w:p>
    <w:p w:rsidR="00BA00F7" w:rsidRPr="008F25E3" w:rsidRDefault="00BA00F7" w:rsidP="008F25E3">
      <w:pPr>
        <w:pStyle w:val="a3"/>
        <w:numPr>
          <w:ilvl w:val="1"/>
          <w:numId w:val="29"/>
        </w:numPr>
        <w:tabs>
          <w:tab w:val="left" w:pos="0"/>
          <w:tab w:val="left" w:pos="993"/>
          <w:tab w:val="left" w:pos="38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3">
        <w:rPr>
          <w:rFonts w:ascii="Times New Roman" w:hAnsi="Times New Roman" w:cs="Times New Roman"/>
          <w:sz w:val="28"/>
          <w:szCs w:val="28"/>
        </w:rPr>
        <w:t xml:space="preserve">на забезпечення діяльності добровільної місцевої пожежної охорони в сумі – </w:t>
      </w:r>
      <w:r w:rsidR="009A46CC" w:rsidRPr="008F25E3">
        <w:rPr>
          <w:rFonts w:ascii="Times New Roman" w:hAnsi="Times New Roman" w:cs="Times New Roman"/>
          <w:sz w:val="28"/>
          <w:szCs w:val="28"/>
        </w:rPr>
        <w:t>50</w:t>
      </w:r>
      <w:r w:rsidRPr="008F25E3">
        <w:rPr>
          <w:rFonts w:ascii="Times New Roman" w:hAnsi="Times New Roman" w:cs="Times New Roman"/>
          <w:sz w:val="28"/>
          <w:szCs w:val="28"/>
        </w:rPr>
        <w:t>,0 тис. грн.</w:t>
      </w:r>
    </w:p>
    <w:p w:rsidR="00CC4ECD" w:rsidRPr="00CC2C50" w:rsidRDefault="00CC4ECD" w:rsidP="0021580B">
      <w:pPr>
        <w:pStyle w:val="aa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 w:rsidRPr="00CC2C50">
        <w:rPr>
          <w:sz w:val="28"/>
          <w:szCs w:val="28"/>
        </w:rPr>
        <w:t xml:space="preserve">З урахуванням норм статті 24 Бюджетного кодексу України у   бюджеті </w:t>
      </w:r>
      <w:r>
        <w:rPr>
          <w:sz w:val="28"/>
          <w:szCs w:val="28"/>
        </w:rPr>
        <w:t>селищної</w:t>
      </w:r>
      <w:r w:rsidRPr="00CC2C50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 xml:space="preserve"> заплановано </w:t>
      </w:r>
      <w:r w:rsidRPr="00CC2C50">
        <w:rPr>
          <w:sz w:val="28"/>
          <w:szCs w:val="28"/>
        </w:rPr>
        <w:t>резервний</w:t>
      </w:r>
      <w:r>
        <w:rPr>
          <w:sz w:val="28"/>
          <w:szCs w:val="28"/>
        </w:rPr>
        <w:t xml:space="preserve"> фонд в сумі </w:t>
      </w:r>
      <w:r w:rsidR="00A04D36">
        <w:rPr>
          <w:sz w:val="28"/>
          <w:szCs w:val="28"/>
        </w:rPr>
        <w:t>3</w:t>
      </w:r>
      <w:r>
        <w:rPr>
          <w:sz w:val="28"/>
          <w:szCs w:val="28"/>
        </w:rPr>
        <w:t xml:space="preserve">00,0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="008F25E3">
        <w:rPr>
          <w:sz w:val="28"/>
          <w:szCs w:val="28"/>
        </w:rPr>
        <w:t>.</w:t>
      </w:r>
    </w:p>
    <w:p w:rsidR="00CC4ECD" w:rsidRDefault="00CC4ECD" w:rsidP="00CC4ECD">
      <w:pPr>
        <w:tabs>
          <w:tab w:val="left" w:pos="0"/>
          <w:tab w:val="left" w:pos="1185"/>
          <w:tab w:val="left" w:pos="4830"/>
        </w:tabs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A46CC" w:rsidRPr="008F25E3" w:rsidRDefault="00CC4ECD" w:rsidP="00CC4ECD">
      <w:pPr>
        <w:tabs>
          <w:tab w:val="left" w:pos="0"/>
          <w:tab w:val="left" w:pos="4830"/>
        </w:tabs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F25E3">
        <w:rPr>
          <w:rFonts w:ascii="Times New Roman" w:eastAsia="Times New Roman" w:hAnsi="Times New Roman"/>
          <w:b/>
          <w:sz w:val="32"/>
          <w:szCs w:val="32"/>
        </w:rPr>
        <w:t>Міжбюджетні трансферти</w:t>
      </w:r>
    </w:p>
    <w:p w:rsidR="00CC4ECD" w:rsidRDefault="00CC4ECD" w:rsidP="00BA00F7">
      <w:pPr>
        <w:tabs>
          <w:tab w:val="left" w:pos="0"/>
          <w:tab w:val="left" w:pos="3899"/>
        </w:tabs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174C4" w:rsidRDefault="00CC4ECD" w:rsidP="008F25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16E6" w:rsidRPr="00CC2C50">
        <w:rPr>
          <w:sz w:val="28"/>
          <w:szCs w:val="28"/>
        </w:rPr>
        <w:t xml:space="preserve"> </w:t>
      </w:r>
      <w:proofErr w:type="spellStart"/>
      <w:r w:rsidR="00FC16E6" w:rsidRPr="00CC2C50">
        <w:rPr>
          <w:sz w:val="28"/>
          <w:szCs w:val="28"/>
        </w:rPr>
        <w:t>бюджет</w:t>
      </w:r>
      <w:r>
        <w:rPr>
          <w:sz w:val="28"/>
          <w:szCs w:val="28"/>
        </w:rPr>
        <w:t>і</w:t>
      </w:r>
      <w:r w:rsidR="008174C4">
        <w:rPr>
          <w:sz w:val="28"/>
          <w:szCs w:val="28"/>
        </w:rPr>
        <w:t>Гніздичівської</w:t>
      </w:r>
      <w:proofErr w:type="spellEnd"/>
      <w:r w:rsidR="008174C4">
        <w:rPr>
          <w:sz w:val="28"/>
          <w:szCs w:val="28"/>
        </w:rPr>
        <w:t xml:space="preserve"> селищної</w:t>
      </w:r>
      <w:r w:rsidR="00FC16E6" w:rsidRPr="00CC2C50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 xml:space="preserve"> на 2023 рік </w:t>
      </w:r>
      <w:r w:rsidR="00FC16E6" w:rsidRPr="00CC2C50">
        <w:rPr>
          <w:sz w:val="28"/>
          <w:szCs w:val="28"/>
        </w:rPr>
        <w:t>передбачається виділити субвенцію</w:t>
      </w:r>
      <w:r w:rsidR="00E7621C">
        <w:rPr>
          <w:sz w:val="28"/>
          <w:szCs w:val="28"/>
        </w:rPr>
        <w:t xml:space="preserve"> іншим</w:t>
      </w:r>
      <w:r w:rsidR="00FC16E6" w:rsidRPr="00CC2C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ам</w:t>
      </w:r>
      <w:r w:rsidR="00E7621C">
        <w:rPr>
          <w:sz w:val="28"/>
          <w:szCs w:val="28"/>
        </w:rPr>
        <w:t>, а саме</w:t>
      </w:r>
      <w:r w:rsidR="008174C4">
        <w:rPr>
          <w:sz w:val="28"/>
          <w:szCs w:val="28"/>
        </w:rPr>
        <w:t>:</w:t>
      </w:r>
    </w:p>
    <w:p w:rsidR="00FC16E6" w:rsidRDefault="00E7621C" w:rsidP="008F25E3">
      <w:pPr>
        <w:pStyle w:val="aa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Бібрській</w:t>
      </w:r>
      <w:proofErr w:type="spellEnd"/>
      <w:r>
        <w:rPr>
          <w:sz w:val="28"/>
          <w:szCs w:val="28"/>
        </w:rPr>
        <w:t xml:space="preserve"> міській територіальній громаді</w:t>
      </w:r>
      <w:r w:rsidR="00FC16E6" w:rsidRPr="00CC2C50">
        <w:rPr>
          <w:sz w:val="28"/>
          <w:szCs w:val="28"/>
        </w:rPr>
        <w:t xml:space="preserve"> на здійснення видатків за обслуговування </w:t>
      </w:r>
      <w:r w:rsidR="008174C4">
        <w:rPr>
          <w:sz w:val="28"/>
          <w:szCs w:val="28"/>
        </w:rPr>
        <w:t xml:space="preserve">одного </w:t>
      </w:r>
      <w:r w:rsidR="00FC16E6" w:rsidRPr="00CC2C50">
        <w:rPr>
          <w:sz w:val="28"/>
          <w:szCs w:val="28"/>
        </w:rPr>
        <w:t>одинок</w:t>
      </w:r>
      <w:r w:rsidR="008174C4">
        <w:rPr>
          <w:sz w:val="28"/>
          <w:szCs w:val="28"/>
        </w:rPr>
        <w:t>ого</w:t>
      </w:r>
      <w:r w:rsidR="00FC16E6" w:rsidRPr="00CC2C50">
        <w:rPr>
          <w:sz w:val="28"/>
          <w:szCs w:val="28"/>
        </w:rPr>
        <w:t xml:space="preserve"> з нашої громади в стаціонарному відділенні </w:t>
      </w:r>
      <w:proofErr w:type="spellStart"/>
      <w:r w:rsidR="00FC16E6" w:rsidRPr="00CC2C50">
        <w:rPr>
          <w:sz w:val="28"/>
          <w:szCs w:val="28"/>
        </w:rPr>
        <w:t>смт</w:t>
      </w:r>
      <w:proofErr w:type="spellEnd"/>
      <w:r w:rsidR="00FC16E6" w:rsidRPr="00CC2C50">
        <w:rPr>
          <w:sz w:val="28"/>
          <w:szCs w:val="28"/>
        </w:rPr>
        <w:t xml:space="preserve">. Нові </w:t>
      </w:r>
      <w:proofErr w:type="spellStart"/>
      <w:r w:rsidR="00FC16E6" w:rsidRPr="00CC2C50">
        <w:rPr>
          <w:sz w:val="28"/>
          <w:szCs w:val="28"/>
        </w:rPr>
        <w:t>Стрілища</w:t>
      </w:r>
      <w:proofErr w:type="spellEnd"/>
      <w:r w:rsidR="00FC16E6" w:rsidRPr="00CC2C50">
        <w:rPr>
          <w:sz w:val="28"/>
          <w:szCs w:val="28"/>
        </w:rPr>
        <w:t xml:space="preserve"> в сумі </w:t>
      </w:r>
      <w:r w:rsidR="00CC4ECD">
        <w:rPr>
          <w:sz w:val="28"/>
          <w:szCs w:val="28"/>
        </w:rPr>
        <w:t>98,0</w:t>
      </w:r>
      <w:r w:rsidR="00FC16E6" w:rsidRPr="00CC2C50">
        <w:rPr>
          <w:sz w:val="28"/>
          <w:szCs w:val="28"/>
        </w:rPr>
        <w:t xml:space="preserve"> тис. гр</w:t>
      </w:r>
      <w:r w:rsidR="0005301C">
        <w:rPr>
          <w:sz w:val="28"/>
          <w:szCs w:val="28"/>
        </w:rPr>
        <w:t>н.</w:t>
      </w:r>
      <w:r w:rsidR="008174C4">
        <w:rPr>
          <w:sz w:val="28"/>
          <w:szCs w:val="28"/>
        </w:rPr>
        <w:t>;</w:t>
      </w:r>
    </w:p>
    <w:p w:rsidR="008174C4" w:rsidRDefault="008174C4" w:rsidP="008F25E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4C4">
        <w:rPr>
          <w:rFonts w:ascii="Times New Roman" w:hAnsi="Times New Roman" w:cs="Times New Roman"/>
          <w:sz w:val="28"/>
          <w:szCs w:val="28"/>
        </w:rPr>
        <w:lastRenderedPageBreak/>
        <w:t>Жидачівській</w:t>
      </w:r>
      <w:proofErr w:type="spellEnd"/>
      <w:r w:rsidRPr="008174C4">
        <w:rPr>
          <w:rFonts w:ascii="Times New Roman" w:hAnsi="Times New Roman" w:cs="Times New Roman"/>
          <w:sz w:val="28"/>
          <w:szCs w:val="28"/>
        </w:rPr>
        <w:t xml:space="preserve"> міській територіальній </w:t>
      </w:r>
      <w:proofErr w:type="spellStart"/>
      <w:r w:rsidRPr="008174C4">
        <w:rPr>
          <w:rFonts w:ascii="Times New Roman" w:hAnsi="Times New Roman" w:cs="Times New Roman"/>
          <w:sz w:val="28"/>
          <w:szCs w:val="28"/>
        </w:rPr>
        <w:t>громаді</w:t>
      </w:r>
      <w:r w:rsidR="00CC4ECD" w:rsidRPr="00CC4EC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C4ECD" w:rsidRPr="00CC4ECD">
        <w:rPr>
          <w:rFonts w:ascii="Times New Roman" w:hAnsi="Times New Roman" w:cs="Times New Roman"/>
          <w:sz w:val="28"/>
          <w:szCs w:val="28"/>
        </w:rPr>
        <w:t xml:space="preserve"> навчання учнів  </w:t>
      </w:r>
      <w:proofErr w:type="spellStart"/>
      <w:r w:rsidR="00CC4ECD" w:rsidRPr="00CC4ECD">
        <w:rPr>
          <w:rFonts w:ascii="Times New Roman" w:hAnsi="Times New Roman" w:cs="Times New Roman"/>
          <w:sz w:val="28"/>
          <w:szCs w:val="28"/>
        </w:rPr>
        <w:t>Гніздичівської</w:t>
      </w:r>
      <w:proofErr w:type="spellEnd"/>
      <w:r w:rsidR="00CC4ECD" w:rsidRPr="00CC4ECD">
        <w:rPr>
          <w:rFonts w:ascii="Times New Roman" w:hAnsi="Times New Roman" w:cs="Times New Roman"/>
          <w:sz w:val="28"/>
          <w:szCs w:val="28"/>
        </w:rPr>
        <w:t xml:space="preserve"> селищної ради у </w:t>
      </w:r>
      <w:proofErr w:type="spellStart"/>
      <w:r w:rsidR="00CC4ECD" w:rsidRPr="00CC4ECD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CC4ECD" w:rsidRPr="00CC4E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4ECD" w:rsidRPr="00CC4ECD">
        <w:rPr>
          <w:rFonts w:ascii="Times New Roman" w:hAnsi="Times New Roman" w:cs="Times New Roman"/>
          <w:sz w:val="28"/>
          <w:szCs w:val="28"/>
        </w:rPr>
        <w:t>Жидачівська</w:t>
      </w:r>
      <w:proofErr w:type="spellEnd"/>
      <w:r w:rsidR="00CC4ECD" w:rsidRPr="00CC4ECD">
        <w:rPr>
          <w:rFonts w:ascii="Times New Roman" w:hAnsi="Times New Roman" w:cs="Times New Roman"/>
          <w:sz w:val="28"/>
          <w:szCs w:val="28"/>
        </w:rPr>
        <w:t xml:space="preserve"> ДЮСШ</w:t>
      </w:r>
      <w:r w:rsidR="00CC4ECD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сумі  </w:t>
      </w:r>
      <w:r w:rsidR="0005301C">
        <w:rPr>
          <w:rFonts w:ascii="Times New Roman" w:hAnsi="Times New Roman" w:cs="Times New Roman"/>
          <w:sz w:val="28"/>
          <w:szCs w:val="28"/>
        </w:rPr>
        <w:t>1</w:t>
      </w:r>
      <w:r w:rsidR="00CC4ECD">
        <w:rPr>
          <w:rFonts w:ascii="Times New Roman" w:hAnsi="Times New Roman" w:cs="Times New Roman"/>
          <w:sz w:val="28"/>
          <w:szCs w:val="28"/>
        </w:rPr>
        <w:t>88,1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57645">
        <w:rPr>
          <w:rFonts w:ascii="Times New Roman" w:hAnsi="Times New Roman" w:cs="Times New Roman"/>
          <w:sz w:val="28"/>
          <w:szCs w:val="28"/>
        </w:rPr>
        <w:t xml:space="preserve">. та </w:t>
      </w:r>
      <w:r w:rsidR="00A57645" w:rsidRPr="00A57645">
        <w:rPr>
          <w:rFonts w:ascii="Times New Roman" w:hAnsi="Times New Roman" w:cs="Times New Roman"/>
          <w:sz w:val="28"/>
          <w:szCs w:val="28"/>
        </w:rPr>
        <w:t xml:space="preserve">забезпечення гарантованих послуг населенню </w:t>
      </w:r>
      <w:proofErr w:type="spellStart"/>
      <w:r w:rsidR="00A57645" w:rsidRPr="00A57645">
        <w:rPr>
          <w:rFonts w:ascii="Times New Roman" w:hAnsi="Times New Roman" w:cs="Times New Roman"/>
          <w:sz w:val="28"/>
          <w:szCs w:val="28"/>
        </w:rPr>
        <w:t>Гніздичівської</w:t>
      </w:r>
      <w:proofErr w:type="spellEnd"/>
      <w:r w:rsidR="00A57645" w:rsidRPr="00A57645"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на забезпечення дітей віком від 2 до 18 років з особливими освітніми потребами, що проживають на території </w:t>
      </w:r>
      <w:proofErr w:type="spellStart"/>
      <w:r w:rsidR="00A57645" w:rsidRPr="00A57645">
        <w:rPr>
          <w:rFonts w:ascii="Times New Roman" w:hAnsi="Times New Roman" w:cs="Times New Roman"/>
          <w:sz w:val="28"/>
          <w:szCs w:val="28"/>
        </w:rPr>
        <w:t>Гніздичівської</w:t>
      </w:r>
      <w:proofErr w:type="spellEnd"/>
      <w:r w:rsidR="00A57645" w:rsidRPr="00A57645">
        <w:rPr>
          <w:rFonts w:ascii="Times New Roman" w:hAnsi="Times New Roman" w:cs="Times New Roman"/>
          <w:sz w:val="28"/>
          <w:szCs w:val="28"/>
        </w:rPr>
        <w:t xml:space="preserve">  ТГ</w:t>
      </w:r>
      <w:bookmarkStart w:id="6" w:name="_Hlk90304045"/>
      <w:r w:rsidR="00A57645" w:rsidRPr="00A57645">
        <w:rPr>
          <w:rFonts w:ascii="Times New Roman" w:hAnsi="Times New Roman" w:cs="Times New Roman"/>
          <w:sz w:val="28"/>
          <w:szCs w:val="28"/>
        </w:rPr>
        <w:t xml:space="preserve"> на здобуття дошкільної  та загальної середньої освіти  шляхом проведення комплексної психолого-педагогічної оцінки розвитку дитини, надання психолого-педагогічних, </w:t>
      </w:r>
      <w:proofErr w:type="spellStart"/>
      <w:r w:rsidR="00A57645" w:rsidRPr="00A57645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A57645" w:rsidRPr="00A57645">
        <w:rPr>
          <w:rFonts w:ascii="Times New Roman" w:hAnsi="Times New Roman" w:cs="Times New Roman"/>
          <w:sz w:val="28"/>
          <w:szCs w:val="28"/>
        </w:rPr>
        <w:t xml:space="preserve"> послуг та забезпечення системного кваліфікованого супроводження фахівцями комунальної установи «Інклюзивно-ресурсний центр»</w:t>
      </w:r>
      <w:bookmarkEnd w:id="6"/>
      <w:r w:rsidR="00A57645">
        <w:rPr>
          <w:rFonts w:ascii="Times New Roman" w:hAnsi="Times New Roman" w:cs="Times New Roman"/>
          <w:sz w:val="28"/>
          <w:szCs w:val="28"/>
        </w:rPr>
        <w:t xml:space="preserve"> в сумі 16,4 тис. грн.</w:t>
      </w:r>
      <w:r w:rsidRPr="00A57645">
        <w:rPr>
          <w:rFonts w:ascii="Times New Roman" w:hAnsi="Times New Roman" w:cs="Times New Roman"/>
          <w:sz w:val="28"/>
          <w:szCs w:val="28"/>
        </w:rPr>
        <w:t>;</w:t>
      </w:r>
    </w:p>
    <w:p w:rsidR="00E7621C" w:rsidRPr="00E7621C" w:rsidRDefault="004F487C" w:rsidP="00E7621C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Журавненській</w:t>
      </w:r>
      <w:proofErr w:type="spellEnd"/>
      <w:r>
        <w:rPr>
          <w:sz w:val="28"/>
          <w:szCs w:val="28"/>
        </w:rPr>
        <w:t xml:space="preserve"> селищній територіальній громаді </w:t>
      </w:r>
      <w:r w:rsidR="008174C4" w:rsidRPr="00FC6D94">
        <w:rPr>
          <w:sz w:val="28"/>
          <w:szCs w:val="28"/>
        </w:rPr>
        <w:t xml:space="preserve">на здійснення видатків для забезпечення гарантованих послуг населенню </w:t>
      </w:r>
      <w:proofErr w:type="spellStart"/>
      <w:r w:rsidR="008174C4" w:rsidRPr="00FC6D94">
        <w:rPr>
          <w:sz w:val="28"/>
          <w:szCs w:val="28"/>
        </w:rPr>
        <w:t>Гніздичівської</w:t>
      </w:r>
      <w:proofErr w:type="spellEnd"/>
      <w:r w:rsidR="008174C4" w:rsidRPr="00FC6D94">
        <w:rPr>
          <w:sz w:val="28"/>
          <w:szCs w:val="28"/>
        </w:rPr>
        <w:t xml:space="preserve"> селищної територіальної громади за перебування дітей у ДНЗ Антонівського </w:t>
      </w:r>
      <w:proofErr w:type="spellStart"/>
      <w:r w:rsidR="008174C4" w:rsidRPr="00FC6D94">
        <w:rPr>
          <w:sz w:val="28"/>
          <w:szCs w:val="28"/>
        </w:rPr>
        <w:t>КЗ</w:t>
      </w:r>
      <w:proofErr w:type="spellEnd"/>
      <w:r w:rsidR="008174C4" w:rsidRPr="00FC6D94">
        <w:rPr>
          <w:sz w:val="28"/>
          <w:szCs w:val="28"/>
        </w:rPr>
        <w:t xml:space="preserve"> ЗСО І-ІІ </w:t>
      </w:r>
      <w:proofErr w:type="spellStart"/>
      <w:r w:rsidR="008174C4" w:rsidRPr="00FC6D94">
        <w:rPr>
          <w:sz w:val="28"/>
          <w:szCs w:val="28"/>
        </w:rPr>
        <w:t>ст.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сумі</w:t>
      </w:r>
      <w:r w:rsidR="00A04D36">
        <w:rPr>
          <w:sz w:val="28"/>
          <w:szCs w:val="28"/>
        </w:rPr>
        <w:t xml:space="preserve"> 271,9</w:t>
      </w:r>
      <w:r>
        <w:rPr>
          <w:sz w:val="28"/>
          <w:szCs w:val="28"/>
        </w:rPr>
        <w:t xml:space="preserve"> тис.</w:t>
      </w:r>
      <w:r w:rsidR="00E7621C">
        <w:rPr>
          <w:sz w:val="28"/>
          <w:szCs w:val="28"/>
        </w:rPr>
        <w:t xml:space="preserve"> грн..</w:t>
      </w:r>
    </w:p>
    <w:p w:rsidR="00A04D36" w:rsidRDefault="00A04D36" w:rsidP="00CC4EC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ECD" w:rsidRDefault="00E7621C" w:rsidP="00E7621C">
      <w:pPr>
        <w:tabs>
          <w:tab w:val="left" w:pos="0"/>
          <w:tab w:val="left" w:pos="483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7621C">
        <w:rPr>
          <w:rFonts w:ascii="Times New Roman" w:eastAsia="Times New Roman" w:hAnsi="Times New Roman"/>
          <w:b/>
          <w:sz w:val="32"/>
          <w:szCs w:val="32"/>
        </w:rPr>
        <w:t>Природоохоронні заходи</w:t>
      </w:r>
    </w:p>
    <w:p w:rsidR="00E7621C" w:rsidRPr="00E7621C" w:rsidRDefault="00E7621C" w:rsidP="00E7621C">
      <w:pPr>
        <w:tabs>
          <w:tab w:val="left" w:pos="0"/>
          <w:tab w:val="left" w:pos="483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C4ECD" w:rsidRPr="00424396" w:rsidRDefault="00CC4ECD" w:rsidP="00E762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6">
        <w:rPr>
          <w:rFonts w:ascii="Times New Roman" w:hAnsi="Times New Roman" w:cs="Times New Roman"/>
          <w:color w:val="000000"/>
          <w:sz w:val="28"/>
          <w:szCs w:val="28"/>
        </w:rPr>
        <w:t xml:space="preserve">В селищному бюджеті  по спеціальному фонду заплановано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24396">
        <w:rPr>
          <w:rFonts w:ascii="Times New Roman" w:hAnsi="Times New Roman" w:cs="Times New Roman"/>
          <w:color w:val="000000"/>
          <w:sz w:val="28"/>
          <w:szCs w:val="28"/>
        </w:rPr>
        <w:t xml:space="preserve"> тис. </w:t>
      </w:r>
      <w:r w:rsidR="00E7621C">
        <w:rPr>
          <w:rFonts w:ascii="Times New Roman" w:hAnsi="Times New Roman" w:cs="Times New Roman"/>
          <w:color w:val="000000"/>
          <w:sz w:val="28"/>
          <w:szCs w:val="28"/>
        </w:rPr>
        <w:t>грн..</w:t>
      </w:r>
      <w:r w:rsidRPr="00424396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на утилізацію відходів, а саме ліквідацію стихійних </w:t>
      </w:r>
      <w:proofErr w:type="spellStart"/>
      <w:r w:rsidRPr="00424396">
        <w:rPr>
          <w:rFonts w:ascii="Times New Roman" w:hAnsi="Times New Roman" w:cs="Times New Roman"/>
          <w:color w:val="000000"/>
          <w:sz w:val="28"/>
          <w:szCs w:val="28"/>
        </w:rPr>
        <w:t>сміттєзвалищ</w:t>
      </w:r>
      <w:proofErr w:type="spellEnd"/>
      <w:r w:rsidRPr="00424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ECD" w:rsidRDefault="00CC4ECD" w:rsidP="00424396">
      <w:pPr>
        <w:spacing w:line="239" w:lineRule="auto"/>
        <w:ind w:left="38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C4ECD" w:rsidRDefault="00CC4ECD" w:rsidP="00424396">
      <w:pPr>
        <w:spacing w:line="239" w:lineRule="auto"/>
        <w:ind w:left="38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4580" w:rsidRPr="00E7621C" w:rsidRDefault="00ED0E5E" w:rsidP="00E7621C">
      <w:pPr>
        <w:tabs>
          <w:tab w:val="left" w:pos="0"/>
          <w:tab w:val="left" w:pos="483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7621C">
        <w:rPr>
          <w:rFonts w:ascii="Times New Roman" w:eastAsia="Times New Roman" w:hAnsi="Times New Roman"/>
          <w:b/>
          <w:sz w:val="32"/>
          <w:szCs w:val="32"/>
        </w:rPr>
        <w:t>Джерела фінансування</w:t>
      </w:r>
    </w:p>
    <w:p w:rsidR="005C4317" w:rsidRPr="00424396" w:rsidRDefault="005C4317" w:rsidP="00424396">
      <w:pPr>
        <w:spacing w:line="239" w:lineRule="auto"/>
        <w:ind w:left="38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4580" w:rsidRPr="00424396" w:rsidRDefault="00854580" w:rsidP="00424396">
      <w:pPr>
        <w:spacing w:line="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Pr="00424396" w:rsidRDefault="00ED0E5E" w:rsidP="00E7621C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396">
        <w:rPr>
          <w:rFonts w:ascii="Times New Roman" w:eastAsia="Times New Roman" w:hAnsi="Times New Roman"/>
          <w:sz w:val="28"/>
          <w:szCs w:val="28"/>
        </w:rPr>
        <w:t xml:space="preserve">З метою покриття тимчасових касових розривів загального фонду </w:t>
      </w:r>
      <w:r w:rsidR="005E486C" w:rsidRPr="00424396">
        <w:rPr>
          <w:rFonts w:ascii="Times New Roman" w:eastAsia="Times New Roman" w:hAnsi="Times New Roman"/>
          <w:sz w:val="28"/>
          <w:szCs w:val="28"/>
        </w:rPr>
        <w:t>селищного</w:t>
      </w:r>
      <w:r w:rsidRPr="00424396">
        <w:rPr>
          <w:rFonts w:ascii="Times New Roman" w:eastAsia="Times New Roman" w:hAnsi="Times New Roman"/>
          <w:sz w:val="28"/>
          <w:szCs w:val="28"/>
        </w:rPr>
        <w:t xml:space="preserve"> бюджету пропонується встановити оборотний касовий залишок бюджетних коштів у сумі </w:t>
      </w:r>
      <w:r w:rsidR="005E486C" w:rsidRPr="00424396">
        <w:rPr>
          <w:rFonts w:ascii="Times New Roman" w:eastAsia="Times New Roman" w:hAnsi="Times New Roman"/>
          <w:sz w:val="28"/>
          <w:szCs w:val="28"/>
        </w:rPr>
        <w:t>1</w:t>
      </w:r>
      <w:r w:rsidRPr="00424396">
        <w:rPr>
          <w:rFonts w:ascii="Times New Roman" w:eastAsia="Times New Roman" w:hAnsi="Times New Roman"/>
          <w:sz w:val="28"/>
          <w:szCs w:val="28"/>
        </w:rPr>
        <w:t>00,0 тис. грн.</w:t>
      </w:r>
      <w:r w:rsidR="00E7621C">
        <w:rPr>
          <w:rFonts w:ascii="Times New Roman" w:eastAsia="Times New Roman" w:hAnsi="Times New Roman"/>
          <w:sz w:val="28"/>
          <w:szCs w:val="28"/>
        </w:rPr>
        <w:t>.</w:t>
      </w:r>
    </w:p>
    <w:p w:rsidR="00854580" w:rsidRPr="00424396" w:rsidRDefault="00854580" w:rsidP="00424396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4580" w:rsidRDefault="00854580" w:rsidP="00424396">
      <w:pPr>
        <w:spacing w:line="30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56C39" w:rsidRPr="00424396" w:rsidRDefault="00456C39" w:rsidP="00424396">
      <w:pPr>
        <w:spacing w:line="30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D0E5E" w:rsidRDefault="00456C39" w:rsidP="00424396">
      <w:pPr>
        <w:tabs>
          <w:tab w:val="left" w:pos="8480"/>
        </w:tabs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Начальник фінансового відділу</w:t>
      </w:r>
      <w:r w:rsidR="00262A1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B67A18">
        <w:rPr>
          <w:rFonts w:ascii="Times New Roman" w:eastAsia="Times New Roman" w:hAnsi="Times New Roman"/>
          <w:b/>
          <w:sz w:val="28"/>
          <w:szCs w:val="28"/>
        </w:rPr>
        <w:t>Галина ІВАНКІВ</w:t>
      </w:r>
    </w:p>
    <w:sectPr w:rsidR="00ED0E5E" w:rsidSect="00424396">
      <w:pgSz w:w="11900" w:h="16838"/>
      <w:pgMar w:top="624" w:right="680" w:bottom="567" w:left="1077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3EAA804A">
      <w:start w:val="1"/>
      <w:numFmt w:val="decimal"/>
      <w:lvlText w:val="%1)"/>
      <w:lvlJc w:val="left"/>
    </w:lvl>
    <w:lvl w:ilvl="1" w:tplc="11C40FA6">
      <w:start w:val="1"/>
      <w:numFmt w:val="bullet"/>
      <w:lvlText w:val=""/>
      <w:lvlJc w:val="left"/>
    </w:lvl>
    <w:lvl w:ilvl="2" w:tplc="A31E3368">
      <w:start w:val="1"/>
      <w:numFmt w:val="bullet"/>
      <w:lvlText w:val=""/>
      <w:lvlJc w:val="left"/>
    </w:lvl>
    <w:lvl w:ilvl="3" w:tplc="8348DE5C">
      <w:start w:val="1"/>
      <w:numFmt w:val="bullet"/>
      <w:lvlText w:val=""/>
      <w:lvlJc w:val="left"/>
    </w:lvl>
    <w:lvl w:ilvl="4" w:tplc="F9B4FF74">
      <w:start w:val="1"/>
      <w:numFmt w:val="bullet"/>
      <w:lvlText w:val=""/>
      <w:lvlJc w:val="left"/>
    </w:lvl>
    <w:lvl w:ilvl="5" w:tplc="A232DD8E">
      <w:start w:val="1"/>
      <w:numFmt w:val="bullet"/>
      <w:lvlText w:val=""/>
      <w:lvlJc w:val="left"/>
    </w:lvl>
    <w:lvl w:ilvl="6" w:tplc="4646772A">
      <w:start w:val="1"/>
      <w:numFmt w:val="bullet"/>
      <w:lvlText w:val=""/>
      <w:lvlJc w:val="left"/>
    </w:lvl>
    <w:lvl w:ilvl="7" w:tplc="E90CF216">
      <w:start w:val="1"/>
      <w:numFmt w:val="bullet"/>
      <w:lvlText w:val=""/>
      <w:lvlJc w:val="left"/>
    </w:lvl>
    <w:lvl w:ilvl="8" w:tplc="FB3A84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BF20ECA">
      <w:start w:val="1"/>
      <w:numFmt w:val="bullet"/>
      <w:lvlText w:val=""/>
      <w:lvlJc w:val="left"/>
    </w:lvl>
    <w:lvl w:ilvl="1" w:tplc="BB5C287A">
      <w:start w:val="1"/>
      <w:numFmt w:val="bullet"/>
      <w:lvlText w:val=""/>
      <w:lvlJc w:val="left"/>
    </w:lvl>
    <w:lvl w:ilvl="2" w:tplc="2ACE7C3A">
      <w:start w:val="1"/>
      <w:numFmt w:val="bullet"/>
      <w:lvlText w:val=""/>
      <w:lvlJc w:val="left"/>
    </w:lvl>
    <w:lvl w:ilvl="3" w:tplc="44C8074E">
      <w:start w:val="1"/>
      <w:numFmt w:val="bullet"/>
      <w:lvlText w:val=""/>
      <w:lvlJc w:val="left"/>
    </w:lvl>
    <w:lvl w:ilvl="4" w:tplc="74C89C22">
      <w:start w:val="1"/>
      <w:numFmt w:val="bullet"/>
      <w:lvlText w:val=""/>
      <w:lvlJc w:val="left"/>
    </w:lvl>
    <w:lvl w:ilvl="5" w:tplc="461C0EE2">
      <w:start w:val="1"/>
      <w:numFmt w:val="bullet"/>
      <w:lvlText w:val=""/>
      <w:lvlJc w:val="left"/>
    </w:lvl>
    <w:lvl w:ilvl="6" w:tplc="414682EA">
      <w:start w:val="1"/>
      <w:numFmt w:val="bullet"/>
      <w:lvlText w:val=""/>
      <w:lvlJc w:val="left"/>
    </w:lvl>
    <w:lvl w:ilvl="7" w:tplc="C37CF2C2">
      <w:start w:val="1"/>
      <w:numFmt w:val="bullet"/>
      <w:lvlText w:val=""/>
      <w:lvlJc w:val="left"/>
    </w:lvl>
    <w:lvl w:ilvl="8" w:tplc="B84E2A9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92544408">
      <w:start w:val="1"/>
      <w:numFmt w:val="bullet"/>
      <w:lvlText w:val="у"/>
      <w:lvlJc w:val="left"/>
    </w:lvl>
    <w:lvl w:ilvl="1" w:tplc="436037BA">
      <w:start w:val="1"/>
      <w:numFmt w:val="bullet"/>
      <w:lvlText w:val="•"/>
      <w:lvlJc w:val="left"/>
    </w:lvl>
    <w:lvl w:ilvl="2" w:tplc="5E36B334">
      <w:start w:val="1"/>
      <w:numFmt w:val="bullet"/>
      <w:lvlText w:val=""/>
      <w:lvlJc w:val="left"/>
    </w:lvl>
    <w:lvl w:ilvl="3" w:tplc="45D6A824">
      <w:start w:val="1"/>
      <w:numFmt w:val="bullet"/>
      <w:lvlText w:val=""/>
      <w:lvlJc w:val="left"/>
    </w:lvl>
    <w:lvl w:ilvl="4" w:tplc="DACC6DFC">
      <w:start w:val="1"/>
      <w:numFmt w:val="bullet"/>
      <w:lvlText w:val=""/>
      <w:lvlJc w:val="left"/>
    </w:lvl>
    <w:lvl w:ilvl="5" w:tplc="F448223E">
      <w:start w:val="1"/>
      <w:numFmt w:val="bullet"/>
      <w:lvlText w:val=""/>
      <w:lvlJc w:val="left"/>
    </w:lvl>
    <w:lvl w:ilvl="6" w:tplc="EEF85336">
      <w:start w:val="1"/>
      <w:numFmt w:val="bullet"/>
      <w:lvlText w:val=""/>
      <w:lvlJc w:val="left"/>
    </w:lvl>
    <w:lvl w:ilvl="7" w:tplc="D91CB83E">
      <w:start w:val="1"/>
      <w:numFmt w:val="bullet"/>
      <w:lvlText w:val=""/>
      <w:lvlJc w:val="left"/>
    </w:lvl>
    <w:lvl w:ilvl="8" w:tplc="BCDE2BC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A280FC">
      <w:start w:val="1"/>
      <w:numFmt w:val="bullet"/>
      <w:lvlText w:val="-"/>
      <w:lvlJc w:val="left"/>
    </w:lvl>
    <w:lvl w:ilvl="1" w:tplc="D4C08C06">
      <w:start w:val="1"/>
      <w:numFmt w:val="bullet"/>
      <w:lvlText w:val=""/>
      <w:lvlJc w:val="left"/>
    </w:lvl>
    <w:lvl w:ilvl="2" w:tplc="287A20F0">
      <w:start w:val="1"/>
      <w:numFmt w:val="bullet"/>
      <w:lvlText w:val=""/>
      <w:lvlJc w:val="left"/>
    </w:lvl>
    <w:lvl w:ilvl="3" w:tplc="21C4E392">
      <w:start w:val="1"/>
      <w:numFmt w:val="bullet"/>
      <w:lvlText w:val=""/>
      <w:lvlJc w:val="left"/>
    </w:lvl>
    <w:lvl w:ilvl="4" w:tplc="E252E9BC">
      <w:start w:val="1"/>
      <w:numFmt w:val="bullet"/>
      <w:lvlText w:val=""/>
      <w:lvlJc w:val="left"/>
    </w:lvl>
    <w:lvl w:ilvl="5" w:tplc="77F8F414">
      <w:start w:val="1"/>
      <w:numFmt w:val="bullet"/>
      <w:lvlText w:val=""/>
      <w:lvlJc w:val="left"/>
    </w:lvl>
    <w:lvl w:ilvl="6" w:tplc="25DCEB3A">
      <w:start w:val="1"/>
      <w:numFmt w:val="bullet"/>
      <w:lvlText w:val=""/>
      <w:lvlJc w:val="left"/>
    </w:lvl>
    <w:lvl w:ilvl="7" w:tplc="96FCBF7E">
      <w:start w:val="1"/>
      <w:numFmt w:val="bullet"/>
      <w:lvlText w:val=""/>
      <w:lvlJc w:val="left"/>
    </w:lvl>
    <w:lvl w:ilvl="8" w:tplc="E8500CC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43A44942">
      <w:start w:val="1"/>
      <w:numFmt w:val="bullet"/>
      <w:lvlText w:val=""/>
      <w:lvlJc w:val="left"/>
    </w:lvl>
    <w:lvl w:ilvl="1" w:tplc="F99A290C">
      <w:start w:val="1"/>
      <w:numFmt w:val="bullet"/>
      <w:lvlText w:val=""/>
      <w:lvlJc w:val="left"/>
    </w:lvl>
    <w:lvl w:ilvl="2" w:tplc="2A401D3C">
      <w:start w:val="1"/>
      <w:numFmt w:val="bullet"/>
      <w:lvlText w:val=""/>
      <w:lvlJc w:val="left"/>
    </w:lvl>
    <w:lvl w:ilvl="3" w:tplc="D158ADEA">
      <w:start w:val="1"/>
      <w:numFmt w:val="bullet"/>
      <w:lvlText w:val=""/>
      <w:lvlJc w:val="left"/>
    </w:lvl>
    <w:lvl w:ilvl="4" w:tplc="64580CDE">
      <w:start w:val="1"/>
      <w:numFmt w:val="bullet"/>
      <w:lvlText w:val=""/>
      <w:lvlJc w:val="left"/>
    </w:lvl>
    <w:lvl w:ilvl="5" w:tplc="1C58BE18">
      <w:start w:val="1"/>
      <w:numFmt w:val="bullet"/>
      <w:lvlText w:val=""/>
      <w:lvlJc w:val="left"/>
    </w:lvl>
    <w:lvl w:ilvl="6" w:tplc="315AC694">
      <w:start w:val="1"/>
      <w:numFmt w:val="bullet"/>
      <w:lvlText w:val=""/>
      <w:lvlJc w:val="left"/>
    </w:lvl>
    <w:lvl w:ilvl="7" w:tplc="91B2CBF0">
      <w:start w:val="1"/>
      <w:numFmt w:val="bullet"/>
      <w:lvlText w:val=""/>
      <w:lvlJc w:val="left"/>
    </w:lvl>
    <w:lvl w:ilvl="8" w:tplc="42C86FD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7A8A8698">
      <w:start w:val="1"/>
      <w:numFmt w:val="bullet"/>
      <w:lvlText w:val=""/>
      <w:lvlJc w:val="left"/>
    </w:lvl>
    <w:lvl w:ilvl="1" w:tplc="0CBE54A6">
      <w:start w:val="1"/>
      <w:numFmt w:val="bullet"/>
      <w:lvlText w:val=""/>
      <w:lvlJc w:val="left"/>
    </w:lvl>
    <w:lvl w:ilvl="2" w:tplc="EABE17D2">
      <w:start w:val="1"/>
      <w:numFmt w:val="bullet"/>
      <w:lvlText w:val=""/>
      <w:lvlJc w:val="left"/>
    </w:lvl>
    <w:lvl w:ilvl="3" w:tplc="4DE232BC">
      <w:start w:val="1"/>
      <w:numFmt w:val="bullet"/>
      <w:lvlText w:val=""/>
      <w:lvlJc w:val="left"/>
    </w:lvl>
    <w:lvl w:ilvl="4" w:tplc="B044B6A6">
      <w:start w:val="1"/>
      <w:numFmt w:val="bullet"/>
      <w:lvlText w:val=""/>
      <w:lvlJc w:val="left"/>
    </w:lvl>
    <w:lvl w:ilvl="5" w:tplc="B3ECEFE4">
      <w:start w:val="1"/>
      <w:numFmt w:val="bullet"/>
      <w:lvlText w:val=""/>
      <w:lvlJc w:val="left"/>
    </w:lvl>
    <w:lvl w:ilvl="6" w:tplc="80F2279C">
      <w:start w:val="1"/>
      <w:numFmt w:val="bullet"/>
      <w:lvlText w:val=""/>
      <w:lvlJc w:val="left"/>
    </w:lvl>
    <w:lvl w:ilvl="7" w:tplc="E642FF06">
      <w:start w:val="1"/>
      <w:numFmt w:val="bullet"/>
      <w:lvlText w:val=""/>
      <w:lvlJc w:val="left"/>
    </w:lvl>
    <w:lvl w:ilvl="8" w:tplc="164268F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EEA4A180">
      <w:start w:val="1"/>
      <w:numFmt w:val="bullet"/>
      <w:lvlText w:val="-"/>
      <w:lvlJc w:val="left"/>
    </w:lvl>
    <w:lvl w:ilvl="1" w:tplc="28885594">
      <w:start w:val="1"/>
      <w:numFmt w:val="bullet"/>
      <w:lvlText w:val=""/>
      <w:lvlJc w:val="left"/>
    </w:lvl>
    <w:lvl w:ilvl="2" w:tplc="981A8D38">
      <w:start w:val="1"/>
      <w:numFmt w:val="bullet"/>
      <w:lvlText w:val=""/>
      <w:lvlJc w:val="left"/>
    </w:lvl>
    <w:lvl w:ilvl="3" w:tplc="380C7B3E">
      <w:start w:val="1"/>
      <w:numFmt w:val="bullet"/>
      <w:lvlText w:val=""/>
      <w:lvlJc w:val="left"/>
    </w:lvl>
    <w:lvl w:ilvl="4" w:tplc="67E8C114">
      <w:start w:val="1"/>
      <w:numFmt w:val="bullet"/>
      <w:lvlText w:val=""/>
      <w:lvlJc w:val="left"/>
    </w:lvl>
    <w:lvl w:ilvl="5" w:tplc="D71029A8">
      <w:start w:val="1"/>
      <w:numFmt w:val="bullet"/>
      <w:lvlText w:val=""/>
      <w:lvlJc w:val="left"/>
    </w:lvl>
    <w:lvl w:ilvl="6" w:tplc="94F03000">
      <w:start w:val="1"/>
      <w:numFmt w:val="bullet"/>
      <w:lvlText w:val=""/>
      <w:lvlJc w:val="left"/>
    </w:lvl>
    <w:lvl w:ilvl="7" w:tplc="C804E3C0">
      <w:start w:val="1"/>
      <w:numFmt w:val="bullet"/>
      <w:lvlText w:val=""/>
      <w:lvlJc w:val="left"/>
    </w:lvl>
    <w:lvl w:ilvl="8" w:tplc="0352DE24">
      <w:start w:val="1"/>
      <w:numFmt w:val="bullet"/>
      <w:lvlText w:val=""/>
      <w:lvlJc w:val="left"/>
    </w:lvl>
  </w:abstractNum>
  <w:abstractNum w:abstractNumId="7">
    <w:nsid w:val="01734198"/>
    <w:multiLevelType w:val="hybridMultilevel"/>
    <w:tmpl w:val="F4F635B8"/>
    <w:lvl w:ilvl="0" w:tplc="924E507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022915C9"/>
    <w:multiLevelType w:val="hybridMultilevel"/>
    <w:tmpl w:val="542A5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564710"/>
    <w:multiLevelType w:val="hybridMultilevel"/>
    <w:tmpl w:val="FFFFFFFF"/>
    <w:lvl w:ilvl="0" w:tplc="E4BE044E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>
    <w:nsid w:val="15E068C2"/>
    <w:multiLevelType w:val="hybridMultilevel"/>
    <w:tmpl w:val="55F86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3B41E9"/>
    <w:multiLevelType w:val="hybridMultilevel"/>
    <w:tmpl w:val="7F98761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>
    <w:nsid w:val="21AD0F3B"/>
    <w:multiLevelType w:val="singleLevel"/>
    <w:tmpl w:val="58D08BB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>
    <w:nsid w:val="25463061"/>
    <w:multiLevelType w:val="hybridMultilevel"/>
    <w:tmpl w:val="4AEA8950"/>
    <w:lvl w:ilvl="0" w:tplc="3AD2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23C0B"/>
    <w:multiLevelType w:val="hybridMultilevel"/>
    <w:tmpl w:val="792AD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E61F8"/>
    <w:multiLevelType w:val="hybridMultilevel"/>
    <w:tmpl w:val="4F90E08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D7363"/>
    <w:multiLevelType w:val="hybridMultilevel"/>
    <w:tmpl w:val="E6E8E5F8"/>
    <w:lvl w:ilvl="0" w:tplc="3AD2EE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292B6F"/>
    <w:multiLevelType w:val="hybridMultilevel"/>
    <w:tmpl w:val="2A624FB0"/>
    <w:lvl w:ilvl="0" w:tplc="4FDCF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59C5"/>
    <w:multiLevelType w:val="hybridMultilevel"/>
    <w:tmpl w:val="4782BE1E"/>
    <w:lvl w:ilvl="0" w:tplc="3AD2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445FD"/>
    <w:multiLevelType w:val="hybridMultilevel"/>
    <w:tmpl w:val="72A6C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EC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26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EA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8B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E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A4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9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92803"/>
    <w:multiLevelType w:val="hybridMultilevel"/>
    <w:tmpl w:val="8A78A19C"/>
    <w:lvl w:ilvl="0" w:tplc="3AD2EE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DA1D56"/>
    <w:multiLevelType w:val="hybridMultilevel"/>
    <w:tmpl w:val="5CD60080"/>
    <w:lvl w:ilvl="0" w:tplc="3AD2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40DA0"/>
    <w:multiLevelType w:val="hybridMultilevel"/>
    <w:tmpl w:val="EA2C1A50"/>
    <w:lvl w:ilvl="0" w:tplc="3AD2EE2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AA7002B"/>
    <w:multiLevelType w:val="hybridMultilevel"/>
    <w:tmpl w:val="4498D206"/>
    <w:lvl w:ilvl="0" w:tplc="3800C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526DD3"/>
    <w:multiLevelType w:val="hybridMultilevel"/>
    <w:tmpl w:val="F1B8E608"/>
    <w:lvl w:ilvl="0" w:tplc="4B5C8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EC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26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EA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8B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E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A4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9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D027A"/>
    <w:multiLevelType w:val="hybridMultilevel"/>
    <w:tmpl w:val="70EEC2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455"/>
    <w:multiLevelType w:val="hybridMultilevel"/>
    <w:tmpl w:val="79AC5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91364"/>
    <w:multiLevelType w:val="hybridMultilevel"/>
    <w:tmpl w:val="21949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1727D1"/>
    <w:multiLevelType w:val="hybridMultilevel"/>
    <w:tmpl w:val="FFFFFFFF"/>
    <w:lvl w:ilvl="0" w:tplc="FD24FB06">
      <w:start w:val="20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6671B78"/>
    <w:multiLevelType w:val="hybridMultilevel"/>
    <w:tmpl w:val="0A2EC4C0"/>
    <w:lvl w:ilvl="0" w:tplc="3AD2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D2EE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25"/>
  </w:num>
  <w:num w:numId="12">
    <w:abstractNumId w:val="14"/>
  </w:num>
  <w:num w:numId="13">
    <w:abstractNumId w:val="15"/>
  </w:num>
  <w:num w:numId="14">
    <w:abstractNumId w:val="24"/>
  </w:num>
  <w:num w:numId="15">
    <w:abstractNumId w:val="19"/>
  </w:num>
  <w:num w:numId="16">
    <w:abstractNumId w:val="23"/>
  </w:num>
  <w:num w:numId="17">
    <w:abstractNumId w:val="10"/>
  </w:num>
  <w:num w:numId="18">
    <w:abstractNumId w:val="11"/>
  </w:num>
  <w:num w:numId="19">
    <w:abstractNumId w:val="9"/>
  </w:num>
  <w:num w:numId="20">
    <w:abstractNumId w:val="28"/>
  </w:num>
  <w:num w:numId="21">
    <w:abstractNumId w:val="8"/>
  </w:num>
  <w:num w:numId="22">
    <w:abstractNumId w:val="16"/>
  </w:num>
  <w:num w:numId="23">
    <w:abstractNumId w:val="26"/>
  </w:num>
  <w:num w:numId="24">
    <w:abstractNumId w:val="20"/>
  </w:num>
  <w:num w:numId="25">
    <w:abstractNumId w:val="27"/>
  </w:num>
  <w:num w:numId="26">
    <w:abstractNumId w:val="22"/>
  </w:num>
  <w:num w:numId="27">
    <w:abstractNumId w:val="18"/>
  </w:num>
  <w:num w:numId="28">
    <w:abstractNumId w:val="21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BC129E"/>
    <w:rsid w:val="00017E9A"/>
    <w:rsid w:val="00021153"/>
    <w:rsid w:val="00027A2B"/>
    <w:rsid w:val="00027EC3"/>
    <w:rsid w:val="0003111B"/>
    <w:rsid w:val="0005067A"/>
    <w:rsid w:val="00051556"/>
    <w:rsid w:val="0005301C"/>
    <w:rsid w:val="00064795"/>
    <w:rsid w:val="000655BA"/>
    <w:rsid w:val="00071FDD"/>
    <w:rsid w:val="00083806"/>
    <w:rsid w:val="00085196"/>
    <w:rsid w:val="00087A73"/>
    <w:rsid w:val="000A1450"/>
    <w:rsid w:val="000B0A1B"/>
    <w:rsid w:val="000C5BC6"/>
    <w:rsid w:val="000D0FA7"/>
    <w:rsid w:val="000D319C"/>
    <w:rsid w:val="000E68A9"/>
    <w:rsid w:val="000F0A6B"/>
    <w:rsid w:val="000F7444"/>
    <w:rsid w:val="00126390"/>
    <w:rsid w:val="00134A8E"/>
    <w:rsid w:val="001373F7"/>
    <w:rsid w:val="00160DA8"/>
    <w:rsid w:val="0016134F"/>
    <w:rsid w:val="00163DA6"/>
    <w:rsid w:val="00165EAF"/>
    <w:rsid w:val="001C23DF"/>
    <w:rsid w:val="001F2BBD"/>
    <w:rsid w:val="001F3D2A"/>
    <w:rsid w:val="001F4C3C"/>
    <w:rsid w:val="00213EAD"/>
    <w:rsid w:val="0021580B"/>
    <w:rsid w:val="00222476"/>
    <w:rsid w:val="002274A1"/>
    <w:rsid w:val="0024777A"/>
    <w:rsid w:val="00262A19"/>
    <w:rsid w:val="00276C31"/>
    <w:rsid w:val="00287C34"/>
    <w:rsid w:val="002A6301"/>
    <w:rsid w:val="002C495D"/>
    <w:rsid w:val="00303F72"/>
    <w:rsid w:val="00337B6D"/>
    <w:rsid w:val="00346D53"/>
    <w:rsid w:val="00354BCE"/>
    <w:rsid w:val="0037482E"/>
    <w:rsid w:val="00393F52"/>
    <w:rsid w:val="00395127"/>
    <w:rsid w:val="003A31CF"/>
    <w:rsid w:val="003B00F8"/>
    <w:rsid w:val="003B6FCB"/>
    <w:rsid w:val="003F658C"/>
    <w:rsid w:val="00417E0E"/>
    <w:rsid w:val="00420770"/>
    <w:rsid w:val="004221BB"/>
    <w:rsid w:val="00424396"/>
    <w:rsid w:val="00424964"/>
    <w:rsid w:val="00424EE6"/>
    <w:rsid w:val="00456C39"/>
    <w:rsid w:val="00460362"/>
    <w:rsid w:val="004762BB"/>
    <w:rsid w:val="00477BFA"/>
    <w:rsid w:val="004920A5"/>
    <w:rsid w:val="004A1F93"/>
    <w:rsid w:val="004B4C0D"/>
    <w:rsid w:val="004B6AE5"/>
    <w:rsid w:val="004C6DBC"/>
    <w:rsid w:val="004D468D"/>
    <w:rsid w:val="004F3AAF"/>
    <w:rsid w:val="004F487C"/>
    <w:rsid w:val="00500296"/>
    <w:rsid w:val="0051389B"/>
    <w:rsid w:val="00516696"/>
    <w:rsid w:val="00517985"/>
    <w:rsid w:val="005209AA"/>
    <w:rsid w:val="0052522B"/>
    <w:rsid w:val="00542478"/>
    <w:rsid w:val="00581914"/>
    <w:rsid w:val="005853CA"/>
    <w:rsid w:val="005871CA"/>
    <w:rsid w:val="00590FAD"/>
    <w:rsid w:val="00593DA3"/>
    <w:rsid w:val="005A0255"/>
    <w:rsid w:val="005A3E57"/>
    <w:rsid w:val="005C4317"/>
    <w:rsid w:val="005D4CD4"/>
    <w:rsid w:val="005D5F7D"/>
    <w:rsid w:val="005E29BD"/>
    <w:rsid w:val="005E3462"/>
    <w:rsid w:val="005E486C"/>
    <w:rsid w:val="005F204F"/>
    <w:rsid w:val="0060258C"/>
    <w:rsid w:val="00626ADA"/>
    <w:rsid w:val="00643395"/>
    <w:rsid w:val="006454C0"/>
    <w:rsid w:val="006469FB"/>
    <w:rsid w:val="00662679"/>
    <w:rsid w:val="00663EDB"/>
    <w:rsid w:val="006702A7"/>
    <w:rsid w:val="006A2238"/>
    <w:rsid w:val="006C5EB0"/>
    <w:rsid w:val="006D1B5E"/>
    <w:rsid w:val="006D6A2C"/>
    <w:rsid w:val="006E3357"/>
    <w:rsid w:val="006F59FA"/>
    <w:rsid w:val="007032F0"/>
    <w:rsid w:val="007234C8"/>
    <w:rsid w:val="00744432"/>
    <w:rsid w:val="0077607F"/>
    <w:rsid w:val="0078431E"/>
    <w:rsid w:val="0078446B"/>
    <w:rsid w:val="00796E40"/>
    <w:rsid w:val="007A76D3"/>
    <w:rsid w:val="007C0A2C"/>
    <w:rsid w:val="007C146A"/>
    <w:rsid w:val="007D34E6"/>
    <w:rsid w:val="007D649E"/>
    <w:rsid w:val="007E43AB"/>
    <w:rsid w:val="00804589"/>
    <w:rsid w:val="0080515B"/>
    <w:rsid w:val="00805B52"/>
    <w:rsid w:val="008063F5"/>
    <w:rsid w:val="00815862"/>
    <w:rsid w:val="008174C4"/>
    <w:rsid w:val="0082758C"/>
    <w:rsid w:val="0084049C"/>
    <w:rsid w:val="00845836"/>
    <w:rsid w:val="00854580"/>
    <w:rsid w:val="00855DB5"/>
    <w:rsid w:val="0086186B"/>
    <w:rsid w:val="008816D2"/>
    <w:rsid w:val="008919E0"/>
    <w:rsid w:val="008A4E8A"/>
    <w:rsid w:val="008B0ED8"/>
    <w:rsid w:val="008B5DA8"/>
    <w:rsid w:val="008C2957"/>
    <w:rsid w:val="008D25E6"/>
    <w:rsid w:val="008F25E3"/>
    <w:rsid w:val="00920D9E"/>
    <w:rsid w:val="00922945"/>
    <w:rsid w:val="0093485B"/>
    <w:rsid w:val="0093726D"/>
    <w:rsid w:val="00941071"/>
    <w:rsid w:val="00947979"/>
    <w:rsid w:val="00962D1A"/>
    <w:rsid w:val="009656F8"/>
    <w:rsid w:val="00976FC2"/>
    <w:rsid w:val="00987C2C"/>
    <w:rsid w:val="00991C75"/>
    <w:rsid w:val="0099716A"/>
    <w:rsid w:val="009A368A"/>
    <w:rsid w:val="009A46CC"/>
    <w:rsid w:val="009A5775"/>
    <w:rsid w:val="009B5237"/>
    <w:rsid w:val="009C387E"/>
    <w:rsid w:val="009C39DA"/>
    <w:rsid w:val="009D0009"/>
    <w:rsid w:val="009E5C56"/>
    <w:rsid w:val="00A04D36"/>
    <w:rsid w:val="00A10952"/>
    <w:rsid w:val="00A44770"/>
    <w:rsid w:val="00A4760B"/>
    <w:rsid w:val="00A57645"/>
    <w:rsid w:val="00A60B8D"/>
    <w:rsid w:val="00A674AE"/>
    <w:rsid w:val="00A72C2A"/>
    <w:rsid w:val="00A738EC"/>
    <w:rsid w:val="00A828DF"/>
    <w:rsid w:val="00A83A3E"/>
    <w:rsid w:val="00A87F87"/>
    <w:rsid w:val="00AA0704"/>
    <w:rsid w:val="00AB1EC3"/>
    <w:rsid w:val="00AB4B5E"/>
    <w:rsid w:val="00AC756D"/>
    <w:rsid w:val="00AE53E8"/>
    <w:rsid w:val="00AF146F"/>
    <w:rsid w:val="00AF492A"/>
    <w:rsid w:val="00B0771C"/>
    <w:rsid w:val="00B12270"/>
    <w:rsid w:val="00B229C4"/>
    <w:rsid w:val="00B25BDB"/>
    <w:rsid w:val="00B2677F"/>
    <w:rsid w:val="00B67A18"/>
    <w:rsid w:val="00B86B6E"/>
    <w:rsid w:val="00BA00F7"/>
    <w:rsid w:val="00BB0ABF"/>
    <w:rsid w:val="00BB4C5B"/>
    <w:rsid w:val="00BB4CE5"/>
    <w:rsid w:val="00BC129E"/>
    <w:rsid w:val="00BC1F89"/>
    <w:rsid w:val="00BC6692"/>
    <w:rsid w:val="00BD24C1"/>
    <w:rsid w:val="00BE5D5F"/>
    <w:rsid w:val="00C26D0B"/>
    <w:rsid w:val="00C365A9"/>
    <w:rsid w:val="00C50907"/>
    <w:rsid w:val="00C57B52"/>
    <w:rsid w:val="00C64479"/>
    <w:rsid w:val="00C76C7A"/>
    <w:rsid w:val="00C77EFE"/>
    <w:rsid w:val="00C8608D"/>
    <w:rsid w:val="00CA3EEC"/>
    <w:rsid w:val="00CC17CB"/>
    <w:rsid w:val="00CC2C50"/>
    <w:rsid w:val="00CC4ECD"/>
    <w:rsid w:val="00CD7819"/>
    <w:rsid w:val="00CE0251"/>
    <w:rsid w:val="00CE1809"/>
    <w:rsid w:val="00D07EDD"/>
    <w:rsid w:val="00D162CC"/>
    <w:rsid w:val="00D35D65"/>
    <w:rsid w:val="00D50376"/>
    <w:rsid w:val="00DD18D4"/>
    <w:rsid w:val="00DD27BD"/>
    <w:rsid w:val="00DD44D0"/>
    <w:rsid w:val="00DE29EA"/>
    <w:rsid w:val="00DE2A6D"/>
    <w:rsid w:val="00E33515"/>
    <w:rsid w:val="00E41A28"/>
    <w:rsid w:val="00E44A25"/>
    <w:rsid w:val="00E704CE"/>
    <w:rsid w:val="00E730A2"/>
    <w:rsid w:val="00E7621C"/>
    <w:rsid w:val="00E81463"/>
    <w:rsid w:val="00EA608D"/>
    <w:rsid w:val="00EB4D7F"/>
    <w:rsid w:val="00EB4F2B"/>
    <w:rsid w:val="00EB5312"/>
    <w:rsid w:val="00EC48E6"/>
    <w:rsid w:val="00EC538C"/>
    <w:rsid w:val="00ED0333"/>
    <w:rsid w:val="00ED0E5E"/>
    <w:rsid w:val="00EE2E65"/>
    <w:rsid w:val="00EF4290"/>
    <w:rsid w:val="00EF5504"/>
    <w:rsid w:val="00EF7D2B"/>
    <w:rsid w:val="00F43BA2"/>
    <w:rsid w:val="00F45519"/>
    <w:rsid w:val="00F466C9"/>
    <w:rsid w:val="00F805C3"/>
    <w:rsid w:val="00F87D3F"/>
    <w:rsid w:val="00F93083"/>
    <w:rsid w:val="00F95961"/>
    <w:rsid w:val="00FB3831"/>
    <w:rsid w:val="00FB5C36"/>
    <w:rsid w:val="00FC16E6"/>
    <w:rsid w:val="00FD30E9"/>
    <w:rsid w:val="00FD752E"/>
    <w:rsid w:val="00FE4791"/>
    <w:rsid w:val="00FF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0"/>
  </w:style>
  <w:style w:type="paragraph" w:styleId="1">
    <w:name w:val="heading 1"/>
    <w:basedOn w:val="a"/>
    <w:next w:val="a"/>
    <w:link w:val="10"/>
    <w:qFormat/>
    <w:rsid w:val="00027EC3"/>
    <w:pPr>
      <w:keepNext/>
      <w:ind w:firstLine="1080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9D000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A3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3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A368A"/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2BB"/>
  </w:style>
  <w:style w:type="character" w:customStyle="1" w:styleId="10">
    <w:name w:val="Заголовок 1 Знак"/>
    <w:basedOn w:val="a0"/>
    <w:link w:val="1"/>
    <w:rsid w:val="00027E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5C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5C56"/>
  </w:style>
  <w:style w:type="character" w:customStyle="1" w:styleId="rvts23">
    <w:name w:val="rvts23"/>
    <w:basedOn w:val="a0"/>
    <w:rsid w:val="00962D1A"/>
  </w:style>
  <w:style w:type="paragraph" w:customStyle="1" w:styleId="11">
    <w:name w:val="Обычный1"/>
    <w:rsid w:val="00165EAF"/>
    <w:pPr>
      <w:widowControl w:val="0"/>
      <w:spacing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3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3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2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26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6D0B"/>
  </w:style>
  <w:style w:type="character" w:customStyle="1" w:styleId="ad">
    <w:name w:val="Текст примечания Знак"/>
    <w:basedOn w:val="a0"/>
    <w:link w:val="ac"/>
    <w:uiPriority w:val="99"/>
    <w:semiHidden/>
    <w:rsid w:val="00C26D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6D0B"/>
    <w:rPr>
      <w:b/>
      <w:bCs/>
    </w:rPr>
  </w:style>
  <w:style w:type="paragraph" w:styleId="af0">
    <w:name w:val="No Spacing"/>
    <w:uiPriority w:val="1"/>
    <w:qFormat/>
    <w:rsid w:val="008174C4"/>
    <w:rPr>
      <w:rFonts w:ascii="Times New Roman" w:eastAsiaTheme="minorEastAsia" w:hAnsi="Times New Roman" w:cs="Times New Roman"/>
      <w:sz w:val="22"/>
      <w:szCs w:val="22"/>
    </w:rPr>
  </w:style>
  <w:style w:type="character" w:customStyle="1" w:styleId="a4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Абзац списка2 Знак"/>
    <w:link w:val="a3"/>
    <w:uiPriority w:val="34"/>
    <w:rsid w:val="003B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6.2500000000000083E-2"/>
          <c:y val="5.9543241908019177E-2"/>
          <c:w val="0.51875364662169865"/>
          <c:h val="0.848964416683988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spPr>
              <a:gradFill rotWithShape="1">
                <a:gsLst>
                  <a:gs pos="0">
                    <a:schemeClr val="accent1">
                      <a:satMod val="100000"/>
                      <a:lumMod val="100000"/>
                    </a:schemeClr>
                  </a:gs>
                  <a:gs pos="50000">
                    <a:schemeClr val="accent1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1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32-4B2E-BC87-E3AD3F76B428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0000"/>
                      <a:lumMod val="100000"/>
                    </a:schemeClr>
                  </a:gs>
                  <a:gs pos="50000">
                    <a:schemeClr val="accent2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2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32-4B2E-BC87-E3AD3F76B428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0000"/>
                      <a:lumMod val="100000"/>
                    </a:schemeClr>
                  </a:gs>
                  <a:gs pos="50000">
                    <a:schemeClr val="accent3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3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32-4B2E-BC87-E3AD3F76B428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0000"/>
                      <a:lumMod val="100000"/>
                    </a:schemeClr>
                  </a:gs>
                  <a:gs pos="50000">
                    <a:schemeClr val="accent4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4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32-4B2E-BC87-E3AD3F76B428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0000"/>
                      <a:lumMod val="100000"/>
                    </a:schemeClr>
                  </a:gs>
                  <a:gs pos="50000">
                    <a:schemeClr val="accent5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5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32-4B2E-BC87-E3AD3F76B428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atMod val="100000"/>
                      <a:lumMod val="100000"/>
                    </a:schemeClr>
                  </a:gs>
                  <a:gs pos="50000">
                    <a:schemeClr val="accent6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6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E32-4B2E-BC87-E3AD3F76B428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0000"/>
                      <a:lumMod val="100000"/>
                    </a:schemeClr>
                  </a:gs>
                  <a:gs pos="50000">
                    <a:schemeClr val="accent1">
                      <a:lumMod val="60000"/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1">
                      <a:lumMod val="60000"/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E32-4B2E-BC87-E3AD3F76B428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0000"/>
                      <a:lumMod val="100000"/>
                    </a:schemeClr>
                  </a:gs>
                  <a:gs pos="50000">
                    <a:schemeClr val="accent2">
                      <a:lumMod val="60000"/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2">
                      <a:lumMod val="60000"/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9DD-4845-96B2-11776B5AB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на доходи фізичних осіб - 19 605,0 тис. грн.</c:v>
                </c:pt>
                <c:pt idx="1">
                  <c:v>Єдиний податок - 4 330,0 тис. грн.</c:v>
                </c:pt>
                <c:pt idx="2">
                  <c:v>Плата за землю - 7 445,0 тис. грн.</c:v>
                </c:pt>
                <c:pt idx="3">
                  <c:v>Акцизний податок - 150,0 тис. грн.</c:v>
                </c:pt>
                <c:pt idx="4">
                  <c:v>Рентна плата та плата за використання інших природних ресурсів - 277,0 тис. грн.</c:v>
                </c:pt>
                <c:pt idx="5">
                  <c:v>Податок на нерухоме майно - 1 289 тис. грн.</c:v>
                </c:pt>
                <c:pt idx="6">
                  <c:v>Адміністративні збори та платежі - 599,0 тис. грн.</c:v>
                </c:pt>
                <c:pt idx="7">
                  <c:v>Інші надходження - 5 тис. грн.</c:v>
                </c:pt>
              </c:strCache>
            </c:strRef>
          </c:cat>
          <c:val>
            <c:numRef>
              <c:f>Лист1!$B$2:$B$9</c:f>
              <c:numCache>
                <c:formatCode>#\ ##0.0\ _₴</c:formatCode>
                <c:ptCount val="8"/>
                <c:pt idx="0">
                  <c:v>19605</c:v>
                </c:pt>
                <c:pt idx="1">
                  <c:v>4330</c:v>
                </c:pt>
                <c:pt idx="2">
                  <c:v>7445</c:v>
                </c:pt>
                <c:pt idx="3">
                  <c:v>150</c:v>
                </c:pt>
                <c:pt idx="4">
                  <c:v>277</c:v>
                </c:pt>
                <c:pt idx="5">
                  <c:v>1289</c:v>
                </c:pt>
                <c:pt idx="6">
                  <c:v>599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2A-48BE-B4F3-BAE7143158C9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195121130723149"/>
          <c:y val="4.6150243898199407E-4"/>
          <c:w val="0.40398619634576377"/>
          <c:h val="0.999538497561017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Динаміка надходжень податку на доходи фізичних осіб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Податок на доходи фізичних осіб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8.297258768634512E-3"/>
                  <c:y val="-1.33472621297185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08-4B9A-ABF4-49590B779C7E}"/>
                </c:ext>
              </c:extLst>
            </c:dLbl>
            <c:dLbl>
              <c:idx val="1"/>
              <c:layout>
                <c:manualLayout>
                  <c:x val="1.2445888152951799E-2"/>
                  <c:y val="-8.898174753145674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08-4B9A-ABF4-49590B779C7E}"/>
                </c:ext>
              </c:extLst>
            </c:dLbl>
            <c:dLbl>
              <c:idx val="2"/>
              <c:layout>
                <c:manualLayout>
                  <c:x val="1.2445888152951799E-2"/>
                  <c:y val="-1.77963495062914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08-4B9A-ABF4-49590B779C7E}"/>
                </c:ext>
              </c:extLst>
            </c:dLbl>
            <c:dLbl>
              <c:idx val="3"/>
              <c:layout>
                <c:manualLayout>
                  <c:x val="1.0371573460793169E-2"/>
                  <c:y val="-1.33472621297185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08-4B9A-ABF4-49590B779C7E}"/>
                </c:ext>
              </c:extLst>
            </c:dLbl>
            <c:dLbl>
              <c:idx val="4"/>
              <c:layout>
                <c:manualLayout>
                  <c:x val="2.6826244093473579E-2"/>
                  <c:y val="-4.12884013118820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A6-46A4-BC68-2EE1DFFAEA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 (план)</c:v>
                </c:pt>
                <c:pt idx="4">
                  <c:v>2023 (проєкт)</c:v>
                </c:pt>
              </c:strCache>
            </c:strRef>
          </c:cat>
          <c:val>
            <c:numRef>
              <c:f>Лист1!$B$2:$B$6</c:f>
              <c:numCache>
                <c:formatCode>#\ ##0.0\ _₴</c:formatCode>
                <c:ptCount val="5"/>
                <c:pt idx="0">
                  <c:v>11987.2</c:v>
                </c:pt>
                <c:pt idx="1">
                  <c:v>13066.5</c:v>
                </c:pt>
                <c:pt idx="2">
                  <c:v>16006.9</c:v>
                </c:pt>
                <c:pt idx="3">
                  <c:v>17840.2</c:v>
                </c:pt>
                <c:pt idx="4">
                  <c:v>19605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5-4A74-9909-D9FBFA0804CA}"/>
            </c:ext>
          </c:extLst>
        </c:ser>
        <c:shape val="box"/>
        <c:axId val="105803136"/>
        <c:axId val="107742336"/>
        <c:axId val="0"/>
      </c:bar3DChart>
      <c:catAx>
        <c:axId val="10580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  <c:crossAx val="107742336"/>
        <c:crosses val="autoZero"/>
        <c:auto val="1"/>
        <c:lblAlgn val="ctr"/>
        <c:lblOffset val="100"/>
      </c:catAx>
      <c:valAx>
        <c:axId val="107742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\ _₴" sourceLinked="1"/>
        <c:majorTickMark val="none"/>
        <c:tickLblPos val="nextTo"/>
        <c:crossAx val="10580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86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Динаміка надходжень</a:t>
            </a:r>
            <a:r>
              <a:rPr lang="uk-UA" sz="1600" b="1" baseline="0">
                <a:latin typeface="Times New Roman" pitchFamily="18" charset="0"/>
                <a:cs typeface="Times New Roman" pitchFamily="18" charset="0"/>
              </a:rPr>
              <a:t> п</a:t>
            </a:r>
            <a:r>
              <a:rPr lang="uk-UA" sz="1600" b="1">
                <a:latin typeface="Times New Roman" pitchFamily="18" charset="0"/>
                <a:cs typeface="Times New Roman" pitchFamily="18" charset="0"/>
              </a:rPr>
              <a:t>лати за землю</a:t>
            </a:r>
          </a:p>
        </c:rich>
      </c:tx>
      <c:layout>
        <c:manualLayout>
          <c:xMode val="edge"/>
          <c:yMode val="edge"/>
          <c:x val="0.25226511985791711"/>
          <c:y val="0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92658162005783E-2"/>
          <c:y val="9.7314704625742959E-2"/>
          <c:w val="0.92622780926429793"/>
          <c:h val="0.715480033812986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Плата за землю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8677942365687861E-3"/>
                  <c:y val="-2.49754568192931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CC-4F05-9DEB-568F7087EBC7}"/>
                </c:ext>
              </c:extLst>
            </c:dLbl>
            <c:dLbl>
              <c:idx val="1"/>
              <c:layout>
                <c:manualLayout>
                  <c:x val="1.0724842950106913E-2"/>
                  <c:y val="-2.69629647956120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CC-4F05-9DEB-568F7087EBC7}"/>
                </c:ext>
              </c:extLst>
            </c:dLbl>
            <c:dLbl>
              <c:idx val="2"/>
              <c:layout>
                <c:manualLayout>
                  <c:x val="7.7818377116127711E-3"/>
                  <c:y val="-1.309198718840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21-498C-B247-4BD01B9EE85F}"/>
                </c:ext>
              </c:extLst>
            </c:dLbl>
            <c:dLbl>
              <c:idx val="3"/>
              <c:layout>
                <c:manualLayout>
                  <c:x val="5.8363782837096536E-3"/>
                  <c:y val="-2.18199786473469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21-498C-B247-4BD01B9EE85F}"/>
                </c:ext>
              </c:extLst>
            </c:dLbl>
            <c:dLbl>
              <c:idx val="4"/>
              <c:layout>
                <c:manualLayout>
                  <c:x val="5.8363782837095816E-3"/>
                  <c:y val="-2.18199786473469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21-498C-B247-4BD01B9EE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 (план)</c:v>
                </c:pt>
                <c:pt idx="4">
                  <c:v>2023 (проєкт)</c:v>
                </c:pt>
              </c:strCache>
            </c:strRef>
          </c:cat>
          <c:val>
            <c:numRef>
              <c:f>Лист1!$B$2:$B$6</c:f>
              <c:numCache>
                <c:formatCode>#\ ##0.0\ _₴</c:formatCode>
                <c:ptCount val="5"/>
                <c:pt idx="0">
                  <c:v>3302.7</c:v>
                </c:pt>
                <c:pt idx="1">
                  <c:v>3380.8</c:v>
                </c:pt>
                <c:pt idx="2">
                  <c:v>8747.2000000000007</c:v>
                </c:pt>
                <c:pt idx="3">
                  <c:v>7690</c:v>
                </c:pt>
                <c:pt idx="4">
                  <c:v>7445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4A-4F54-96CA-CDDCD8FA5967}"/>
            </c:ext>
          </c:extLst>
        </c:ser>
        <c:dLbls>
          <c:showVal val="1"/>
        </c:dLbls>
        <c:shape val="box"/>
        <c:axId val="6730880"/>
        <c:axId val="6732416"/>
        <c:axId val="0"/>
      </c:bar3DChart>
      <c:catAx>
        <c:axId val="673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  <c:crossAx val="6732416"/>
        <c:crosses val="autoZero"/>
        <c:auto val="1"/>
        <c:lblAlgn val="ctr"/>
        <c:lblOffset val="100"/>
      </c:catAx>
      <c:valAx>
        <c:axId val="6732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\ _₴" sourceLinked="1"/>
        <c:majorTickMark val="none"/>
        <c:tickLblPos val="nextTo"/>
        <c:crossAx val="673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Динаміка надходжень</a:t>
            </a:r>
            <a:r>
              <a:rPr lang="uk-UA" sz="1600" b="1" baseline="0">
                <a:latin typeface="Times New Roman" pitchFamily="18" charset="0"/>
                <a:cs typeface="Times New Roman" pitchFamily="18" charset="0"/>
              </a:rPr>
              <a:t> є</a:t>
            </a:r>
            <a:r>
              <a:rPr lang="uk-UA" sz="1600" b="1">
                <a:latin typeface="Times New Roman" pitchFamily="18" charset="0"/>
                <a:cs typeface="Times New Roman" pitchFamily="18" charset="0"/>
              </a:rPr>
              <a:t>диного податку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890061628171971E-2"/>
          <c:y val="0.14695823837087746"/>
          <c:w val="0.83028314410657367"/>
          <c:h val="0.615230914490425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Єдиний податок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4.9073894465623984E-2"/>
                  <c:y val="-2.11158873567169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1-4368-B0FC-322FA64AAC6E}"/>
                </c:ext>
              </c:extLst>
            </c:dLbl>
            <c:dLbl>
              <c:idx val="1"/>
              <c:layout>
                <c:manualLayout>
                  <c:x val="1.3086371857499685E-2"/>
                  <c:y val="-1.847640143712743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81-4368-B0FC-322FA64AAC6E}"/>
                </c:ext>
              </c:extLst>
            </c:dLbl>
            <c:dLbl>
              <c:idx val="3"/>
              <c:layout>
                <c:manualLayout>
                  <c:x val="3.2715929643748688E-3"/>
                  <c:y val="-2.32343452652978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81-4368-B0FC-322FA64AAC6E}"/>
                </c:ext>
              </c:extLst>
            </c:dLbl>
            <c:dLbl>
              <c:idx val="4"/>
              <c:layout>
                <c:manualLayout>
                  <c:x val="3.2715929643749295E-2"/>
                  <c:y val="-2.09109107387680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E2-4D2F-8C78-F7632712D0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 (план)</c:v>
                </c:pt>
                <c:pt idx="4">
                  <c:v>2023 (проєкт)</c:v>
                </c:pt>
              </c:strCache>
            </c:strRef>
          </c:cat>
          <c:val>
            <c:numRef>
              <c:f>Лист1!$B$2:$B$6</c:f>
              <c:numCache>
                <c:formatCode>#\ ##0.0\ _₴</c:formatCode>
                <c:ptCount val="5"/>
                <c:pt idx="0">
                  <c:v>2113.3000000000002</c:v>
                </c:pt>
                <c:pt idx="1">
                  <c:v>1961.3</c:v>
                </c:pt>
                <c:pt idx="2">
                  <c:v>3764.9</c:v>
                </c:pt>
                <c:pt idx="3">
                  <c:v>4100</c:v>
                </c:pt>
                <c:pt idx="4">
                  <c:v>4330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FF-4353-A222-5219EA493770}"/>
            </c:ext>
          </c:extLst>
        </c:ser>
        <c:dLbls>
          <c:showVal val="1"/>
        </c:dLbls>
        <c:shape val="box"/>
        <c:axId val="120060544"/>
        <c:axId val="124359040"/>
        <c:axId val="0"/>
      </c:bar3DChart>
      <c:catAx>
        <c:axId val="12006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359040"/>
        <c:crosses val="autoZero"/>
        <c:auto val="1"/>
        <c:lblAlgn val="ctr"/>
        <c:lblOffset val="100"/>
      </c:catAx>
      <c:valAx>
        <c:axId val="124359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\ _₴" sourceLinked="1"/>
        <c:majorTickMark val="none"/>
        <c:tickLblPos val="nextTo"/>
        <c:crossAx val="12006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51633333379798318"/>
          <c:y val="2.9092686943543788E-2"/>
          <c:w val="0.47556431240791697"/>
          <c:h val="0.941814722582843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DB-4A03-9063-E2AF810A763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DB-4A03-9063-E2AF810A763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DB-4A03-9063-E2AF810A763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DB-4A03-9063-E2AF810A763A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EDB-4A03-9063-E2AF810A763A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EDB-4A03-9063-E2AF810A763A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EDB-4A03-9063-E2AF810A763A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EDB-4A03-9063-E2AF810A763A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EDB-4A03-9063-E2AF810A763A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EDB-4A03-9063-E2AF810A763A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EDB-4A03-9063-E2AF810A76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197" b="1" i="0" u="none" strike="noStrike" kern="1200" baseline="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 - 9085,5 тис. грн.</c:v>
                </c:pt>
                <c:pt idx="1">
                  <c:v>Освіта - 37 280,6 тис. грн.</c:v>
                </c:pt>
                <c:pt idx="2">
                  <c:v>Охорона здоров'я - 2 206,8 тис. грн.</c:v>
                </c:pt>
                <c:pt idx="3">
                  <c:v>Соціальний захист - 1980,1 тис. грн.</c:v>
                </c:pt>
                <c:pt idx="4">
                  <c:v>Культура і мистецтво - 3153,8 тис. грн.</c:v>
                </c:pt>
                <c:pt idx="5">
                  <c:v>Фізична культура і спорт - 150 тис. грн.</c:v>
                </c:pt>
                <c:pt idx="6">
                  <c:v>Житлово-комунальне господарство - 2745,0 тис. грн.</c:v>
                </c:pt>
                <c:pt idx="7">
                  <c:v>Економічна діяльність - 2 071,8тис. грн.</c:v>
                </c:pt>
                <c:pt idx="8">
                  <c:v>Інша діяльність - 150 тис. грн.</c:v>
                </c:pt>
                <c:pt idx="9">
                  <c:v>Міжбюджетні трансферти - 558,0 тис. грн.</c:v>
                </c:pt>
                <c:pt idx="10">
                  <c:v>Резервний фонд - 300 тис. грн.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9085.5</c:v>
                </c:pt>
                <c:pt idx="1">
                  <c:v>37280.6</c:v>
                </c:pt>
                <c:pt idx="2">
                  <c:v>2206.8000000000002</c:v>
                </c:pt>
                <c:pt idx="3">
                  <c:v>1980.1</c:v>
                </c:pt>
                <c:pt idx="4">
                  <c:v>3153.8</c:v>
                </c:pt>
                <c:pt idx="5">
                  <c:v>150</c:v>
                </c:pt>
                <c:pt idx="6">
                  <c:v>2745</c:v>
                </c:pt>
                <c:pt idx="7">
                  <c:v>2055.4</c:v>
                </c:pt>
                <c:pt idx="8">
                  <c:v>150</c:v>
                </c:pt>
                <c:pt idx="9">
                  <c:v>574.4</c:v>
                </c:pt>
                <c:pt idx="10">
                  <c:v>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35-45BF-B4D9-5C356F96F867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0128213554097674E-3"/>
          <c:y val="2.3058779625240191E-2"/>
          <c:w val="0.50939222257897165"/>
          <c:h val="0.953882440749519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9763387330423687"/>
          <c:y val="9.881667454897626E-2"/>
          <c:w val="0.50539013726643178"/>
          <c:h val="0.817186837535072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gradFill rotWithShape="1">
                <a:gsLst>
                  <a:gs pos="0">
                    <a:schemeClr val="accent1">
                      <a:satMod val="100000"/>
                      <a:lumMod val="100000"/>
                    </a:schemeClr>
                  </a:gs>
                  <a:gs pos="50000">
                    <a:schemeClr val="accent1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1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0F-4D02-A177-63604F5D2BD4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0000"/>
                      <a:lumMod val="100000"/>
                    </a:schemeClr>
                  </a:gs>
                  <a:gs pos="50000">
                    <a:schemeClr val="accent2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2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B0F-4D02-A177-63604F5D2BD4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0000"/>
                      <a:lumMod val="100000"/>
                    </a:schemeClr>
                  </a:gs>
                  <a:gs pos="50000">
                    <a:schemeClr val="accent3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3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B0F-4D02-A177-63604F5D2BD4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0000"/>
                      <a:lumMod val="100000"/>
                    </a:schemeClr>
                  </a:gs>
                  <a:gs pos="50000">
                    <a:schemeClr val="accent4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4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0F-4D02-A177-63604F5D2BD4}"/>
              </c:ext>
            </c:extLst>
          </c:dPt>
          <c:dPt>
            <c:idx val="4"/>
            <c:explosion val="11"/>
            <c:spPr>
              <a:gradFill rotWithShape="1">
                <a:gsLst>
                  <a:gs pos="0">
                    <a:schemeClr val="accent5">
                      <a:satMod val="100000"/>
                      <a:lumMod val="100000"/>
                    </a:schemeClr>
                  </a:gs>
                  <a:gs pos="50000">
                    <a:schemeClr val="accent5">
                      <a:shade val="99000"/>
                      <a:satMod val="105000"/>
                      <a:lumMod val="100000"/>
                    </a:schemeClr>
                  </a:gs>
                  <a:gs pos="100000">
                    <a:schemeClr val="accent5">
                      <a:shade val="98000"/>
                      <a:satMod val="105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4200000"/>
                </a:lightRig>
              </a:scene3d>
              <a:sp3d prstMaterial="flat">
                <a:bevelT w="50800" h="635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B0F-4D02-A177-63604F5D2BD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 1 226,2 тис. грн.</a:t>
                    </a:r>
                    <a:endParaRPr lang="uk-UA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B0F-4D02-A177-63604F5D2B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17,0 тис. грн.</a:t>
                    </a:r>
                    <a:endParaRPr lang="uk-UA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B0F-4D02-A177-63604F5D2B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9,0 тис. грн.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B0F-4D02-A177-63604F5D2BD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21,6 тис. грн.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B0F-4D02-A177-63604F5D2BD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185,0 тис. грн.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B0F-4D02-A177-63604F5D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Освіта</c:v>
                </c:pt>
                <c:pt idx="1">
                  <c:v>Державне управління</c:v>
                </c:pt>
                <c:pt idx="2">
                  <c:v>Соціальний захист</c:v>
                </c:pt>
                <c:pt idx="3">
                  <c:v>Культура і мистецтво</c:v>
                </c:pt>
                <c:pt idx="4">
                  <c:v>Економічна та інша діяльність</c:v>
                </c:pt>
              </c:strCache>
            </c:strRef>
          </c:cat>
          <c:val>
            <c:numRef>
              <c:f>Лист1!$B$2:$B$6</c:f>
              <c:numCache>
                <c:formatCode>#\ ##0.0\ _₴</c:formatCode>
                <c:ptCount val="5"/>
                <c:pt idx="0">
                  <c:v>1226.2</c:v>
                </c:pt>
                <c:pt idx="1">
                  <c:v>17</c:v>
                </c:pt>
                <c:pt idx="2">
                  <c:v>9</c:v>
                </c:pt>
                <c:pt idx="3">
                  <c:v>21.6</c:v>
                </c:pt>
                <c:pt idx="4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0F-4D02-A177-63604F5D2BD4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02653002210668"/>
          <c:y val="0.11708957516861616"/>
          <c:w val="0.25411724901574806"/>
          <c:h val="0.7484993963954695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0.58599</cdr:x>
      <cdr:y>0.38363</cdr:y>
    </cdr:from>
    <cdr:to>
      <cdr:x>0.90157</cdr:x>
      <cdr:y>0.62093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1614A68E-87FA-3251-1101-B74F8635807A}"/>
            </a:ext>
          </a:extLst>
        </cdr:cNvPr>
        <cdr:cNvSpPr txBox="1"/>
      </cdr:nvSpPr>
      <cdr:spPr>
        <a:xfrm xmlns:a="http://schemas.openxmlformats.org/drawingml/2006/main">
          <a:off x="3783406" y="1192696"/>
          <a:ext cx="2037530" cy="73775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2000" b="1" dirty="0">
              <a:latin typeface="Times New Roman" pitchFamily="18" charset="0"/>
              <a:cs typeface="Times New Roman" pitchFamily="18" charset="0"/>
            </a:rPr>
            <a:t>59 681,5 </a:t>
          </a:r>
        </a:p>
        <a:p xmlns:a="http://schemas.openxmlformats.org/drawingml/2006/main">
          <a:pPr algn="ctr"/>
          <a:r>
            <a:rPr lang="uk-UA" sz="2000" b="1" dirty="0">
              <a:latin typeface="Times New Roman" pitchFamily="18" charset="0"/>
              <a:cs typeface="Times New Roman" pitchFamily="18" charset="0"/>
            </a:rPr>
            <a:t>тис. 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CF2-F16A-42D9-8034-2F0E4AEA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10768</Words>
  <Characters>6139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2022-12-20T13:22:00Z</cp:lastPrinted>
  <dcterms:created xsi:type="dcterms:W3CDTF">2020-12-27T16:15:00Z</dcterms:created>
  <dcterms:modified xsi:type="dcterms:W3CDTF">2022-12-20T13:29:00Z</dcterms:modified>
</cp:coreProperties>
</file>