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Звіт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результатами опитувань щодо визначення способів інформування населення про соціальні послуги Гніздичівської територіальної громади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В межах проєкту «Супровід урядових реформ в Україні» (SURGE), який виконується Alinea International за підтримки Уряду Канади, у співпраці з Львівською обласною державною адміністрацією у 6-ти пілотних територіальних громадах Львівської області забезпечується пілотування моделі планування та розвитку соціальних послуг.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На першому етапі роботи проводиться оцінка потреб жителів громади у соціальних послугах, в т.ч. шляхом пілотування інструментів та методики проведення оцінки.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Однією зі складових роботи, пов’язаної з розвитком послуг, є всебічне інформування жителів громад про наявні соціальні послуги, для забезпечення доступності послуг та своєчасного звернення сімей з дітьми та осіб за необхідною допомогою. Для планування відповідної інформаційно-просвітницької роботи проведено опитування жителів та надавачів послуг 6-ти пілотних територіальних громад Львівської області, серед яких - Гніздичівська територіальна громада.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Метою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опитування був збір даних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наявні способи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інформування жителів територіальної громади про соціальні послуги для подальшого вдосконалення підходів до поширення соціально важливої інформації, з урахуванням особливостей та потреб різних груп населення територіальних громад.</w:t>
      </w:r>
    </w:p>
    <w:p w:rsidR="00000000" w:rsidDel="00000000" w:rsidP="00000000" w:rsidRDefault="00000000" w:rsidRPr="00000000" w14:paraId="00000008">
      <w:pPr>
        <w:spacing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  <w:tab/>
        <w:t xml:space="preserve">Опитування проводилося методом анкетування. Для цього було  розроблено два інструменти: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Анкета № 1 для надавачів соціальних, освітніх та медичних послуг в ОТГ (Додаток 1);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Анкета № 2 для проведення опитування серед жителів громади (Додаток 2).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Питання, включені до анкет, були спрямовані на визначення каналів комунікації, якими користуються жителі громади та надавачі різних видів послуг, вивчення труднощів у комунікації та шляхів удосконалення підходів до поширення соціально важливої інформації, з урахуванням особливостей та потреб різних груп населення. Деякі рекомендації були отримані від респондентів у формі розгорнутих відповідей та включені до даного аналізу. 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Анкети були розповсюджені у паперовому та  в електронному форматі, що дозволило залучити більшу кількість учасників та учасниць до опитування (Анкета № 1 для надавачів послуг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https://forms.gle/C62gAuJB8YNzniBc8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та Анкета № 2  для жителів 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https://forms.gle/kQRqQtZ7djyrRMNu9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).</w:t>
      </w:r>
    </w:p>
    <w:p w:rsidR="00000000" w:rsidDel="00000000" w:rsidP="00000000" w:rsidRDefault="00000000" w:rsidRPr="00000000" w14:paraId="0000000E">
      <w:p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І. Збір даних в процесі проведення опитування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Опитування було проведене у період із 10-30 вересня 2020 року. Поширення анкет та збір даних забезпечено фахівцями із соціальної роботи, лікарями, освітянами, працівниками ДНЗ, працівниками народного дому, бібліотеки, ЦНАП. Загалом у Гніздичівській територіальній громаді було розповсюджено 200 паперових анкет, з яких 100 анкет для надавачів послуг та 100 анкет для мешканців громади (див. Таб. 1 і Таб. 2.). 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Таб. 1. Поширення паперової анкети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надавачів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послуг</w:t>
      </w:r>
      <w:r w:rsidDel="00000000" w:rsidR="00000000" w:rsidRPr="00000000">
        <w:rPr>
          <w:rtl w:val="0"/>
        </w:rPr>
      </w:r>
    </w:p>
    <w:tbl>
      <w:tblPr>
        <w:tblStyle w:val="Table1"/>
        <w:tblW w:w="773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9"/>
        <w:gridCol w:w="4521"/>
        <w:gridCol w:w="2629"/>
        <w:tblGridChange w:id="0">
          <w:tblGrid>
            <w:gridCol w:w="589"/>
            <w:gridCol w:w="4521"/>
            <w:gridCol w:w="2629"/>
          </w:tblGrid>
        </w:tblGridChange>
      </w:tblGrid>
      <w:tr>
        <w:trPr>
          <w:trHeight w:val="51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Місце поширення анкети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Кількість розповсюджених анкет</w:t>
            </w:r>
          </w:p>
        </w:tc>
      </w:tr>
      <w:tr>
        <w:trPr>
          <w:trHeight w:val="25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Школа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Лікарня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  <w:tr>
        <w:trPr>
          <w:trHeight w:val="25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Бібліотека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Народний дім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  <w:tr>
        <w:trPr>
          <w:trHeight w:val="25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Робоча група з планування розвитку послуг в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ЦНАП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  <w:tr>
        <w:trPr>
          <w:trHeight w:val="441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Загалом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Таб. 2. Поширення паперової анкети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мешканців громади</w:t>
      </w:r>
      <w:r w:rsidDel="00000000" w:rsidR="00000000" w:rsidRPr="00000000">
        <w:rPr>
          <w:rtl w:val="0"/>
        </w:rPr>
      </w:r>
    </w:p>
    <w:tbl>
      <w:tblPr>
        <w:tblStyle w:val="Table2"/>
        <w:tblW w:w="773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3"/>
        <w:gridCol w:w="4447"/>
        <w:gridCol w:w="2629"/>
        <w:tblGridChange w:id="0">
          <w:tblGrid>
            <w:gridCol w:w="663"/>
            <w:gridCol w:w="4447"/>
            <w:gridCol w:w="2629"/>
          </w:tblGrid>
        </w:tblGridChange>
      </w:tblGrid>
      <w:tr>
        <w:trPr>
          <w:trHeight w:val="40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Місце поширення анкети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Кількість розповсюджених анкет</w:t>
            </w:r>
          </w:p>
        </w:tc>
      </w:tr>
      <w:tr>
        <w:trPr>
          <w:trHeight w:val="21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Школа (особливо, в якій є інклюзивний клас)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  <w:tr>
        <w:trPr>
          <w:trHeight w:val="19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ДНЗ (особливо, в якому є інклюзивна група)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  <w:tr>
        <w:trPr>
          <w:trHeight w:val="21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Пацієнти сімейного лікаря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trHeight w:val="21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Центр надання соціальних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trHeight w:val="19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Магазини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trHeight w:val="21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Церква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trHeight w:val="19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ЦНАП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  <w:tr>
        <w:trPr>
          <w:trHeight w:val="15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Загалом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Загалом у Гніздичівській територіальній громаді було опитано 202 особи: 99 надавачів послуг (анкета №1) та 103 жителів громади (анкета №2). З них, 41% анкет заповнені онлайн.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Із 103 мешканців громади, які заповнили анкету №2, дві третіх є жінками і одна третя - чоловіки. Майже половина респондентів (44%) є віком 36-59 років, чверть респондентів представляє молодь віком 18-35 років, одна сьома респондентів - підлітки і ще одна сьома - люди похилого віку. </w:t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Таб. 3. Вікові характеристики респондентів з числа мешканців громади</w:t>
      </w:r>
    </w:p>
    <w:tbl>
      <w:tblPr>
        <w:tblStyle w:val="Table3"/>
        <w:tblW w:w="5055.0" w:type="dxa"/>
        <w:jc w:val="center"/>
        <w:tblLayout w:type="fixed"/>
        <w:tblLook w:val="0400"/>
      </w:tblPr>
      <w:tblGrid>
        <w:gridCol w:w="2775"/>
        <w:gridCol w:w="2280"/>
        <w:tblGridChange w:id="0">
          <w:tblGrid>
            <w:gridCol w:w="2775"/>
            <w:gridCol w:w="2280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Вік респондента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Кількість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14-17 років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18-35 років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36-59 років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60+ років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Загалом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ІІ. Результати опитування</w:t>
      </w:r>
    </w:p>
    <w:p w:rsidR="00000000" w:rsidDel="00000000" w:rsidP="00000000" w:rsidRDefault="00000000" w:rsidRPr="00000000" w14:paraId="0000006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Наявний стан інформування жителів громади про соціальні послуги та соціально важливі події</w:t>
      </w:r>
    </w:p>
    <w:p w:rsidR="00000000" w:rsidDel="00000000" w:rsidP="00000000" w:rsidRDefault="00000000" w:rsidRPr="00000000" w14:paraId="00000063">
      <w:pPr>
        <w:spacing w:after="16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Майже всі опитані жителі громади (94%), зазначили, що знають, що таке соціальні послуги. Трохи більше половини з  них, знають також куди звернутися, щоб отримати ці послуги, а 5% чітко вказують, що це може ЦНАП, Центр соціального обслуговування та Центр надання соціальних послуг.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Щодо існуючих каналів  отримання соціально важливої інформації у громаді, то із запропонованих 13 каналів комунікації жителі громади вибрали 10 (діаграма 1). Найбільш популярними каналами комунікації зазначені офіційний інтернет-сайт сільської/селищної ради (27%), дошка оголошень у публічних місцях (17%), збори громади (17%). Якщо об’єднати канали комунікації за категоріями інтернет-канали (офіційний сайт сільської/селищної ради, офіційний сайт ГО, соціальні мережі), поширення друкованої продукції (дошка оголошень в соціальних установах, у публічних місцях, у школах, лікарнях та в церкві), традиційні засоби масової інформації (місцева газета, радіо), усні канали комунікації (збори громади, повідомлення по телефону, від знайомих), то найбільш користованими залишаються інтернет-канали (43%), друге місце займають друковані оголошення (32%) та усні канали комунікації (31%), і на останньому місці - оголошення через місцеву газету (8%).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Щодо цифрових каналів комунікації, то 73 особи із числа респондентів знають про офіційний сайт громади, але 25 % із тих, що знають про сайт, не користуються ним. Схожою мірою, 60 осіб знає про існування сторінки громади у соціальних мережах, але 30% з них нею користуються. 10% респондентів вважають, що у громаді немає ні офіційного сайту, ні сторінки у соціальних мережах. </w:t>
      </w:r>
    </w:p>
    <w:p w:rsidR="00000000" w:rsidDel="00000000" w:rsidP="00000000" w:rsidRDefault="00000000" w:rsidRPr="00000000" w14:paraId="0000006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720" w:firstLine="0"/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Діаграма 1. Канали комунікації, якими користуються жителі громади </w:t>
      </w:r>
    </w:p>
    <w:p w:rsidR="00000000" w:rsidDel="00000000" w:rsidP="00000000" w:rsidRDefault="00000000" w:rsidRPr="00000000" w14:paraId="0000006E">
      <w:pPr>
        <w:spacing w:line="240" w:lineRule="auto"/>
        <w:ind w:left="720" w:firstLine="0"/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(кількість респондентів, з числа жителів громади, охоплених опитуванням)</w:t>
      </w:r>
    </w:p>
    <w:p w:rsidR="00000000" w:rsidDel="00000000" w:rsidP="00000000" w:rsidRDefault="00000000" w:rsidRPr="00000000" w14:paraId="0000006F">
      <w:pPr>
        <w:spacing w:line="240" w:lineRule="auto"/>
        <w:ind w:left="720" w:firstLine="0"/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267325" cy="2533650"/>
            <wp:effectExtent b="0" l="0" r="0" t="0"/>
            <wp:docPr descr="Points scored" id="5" name="image1.png"/>
            <a:graphic>
              <a:graphicData uri="http://schemas.openxmlformats.org/drawingml/2006/picture">
                <pic:pic>
                  <pic:nvPicPr>
                    <pic:cNvPr descr="Points scored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33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Слід зазначити, що для надавачів послуг найбільш популярними каналами поширення інформації є сайт сільської/селищної ради (62%), сторінка в соціальних мережах (37%) та оголошення в публічних місцях (28%). Варто звернути увагу, що збори в громаді виглядають недооціненим способом поширення інформації з боку надавачів: більша кількість респондентів з числа мешканців громади сприймають їх способом отримання соціально важливої інформації ніж кількість респондентів з числа надавачів.</w:t>
      </w:r>
    </w:p>
    <w:p w:rsidR="00000000" w:rsidDel="00000000" w:rsidP="00000000" w:rsidRDefault="00000000" w:rsidRPr="00000000" w14:paraId="00000074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720" w:firstLine="0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Діаграма 2. Існуючі канали поширення інформації надавачами послуг; кількість респондентів, з числа надавачів, охоплених опитуванням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143500" cy="2933700"/>
            <wp:effectExtent b="0" l="0" r="0" t="0"/>
            <wp:docPr descr="Points scored" id="7" name="image3.png"/>
            <a:graphic>
              <a:graphicData uri="http://schemas.openxmlformats.org/drawingml/2006/picture">
                <pic:pic>
                  <pic:nvPicPr>
                    <pic:cNvPr descr="Points scored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Загалом, половина респондентів з числа мешканців громади позитивно оцінює рівень інформування жителів у громаді  (11 респондентів поставили оцінку “5”, 44 респонденти - оцінку “4”), одна третя оцінили комунікацію як задовільну (30 респондентів поставили оцінку “3”). Оцінка мешканців загалом співпадає із оцінкою комунікації в громаді з точки зору надавачів (17 респондентів з числа надавачів поставили оцінку “5”, 47 - оцінку “4”,  27 - оцінку “3”).</w:t>
      </w:r>
    </w:p>
    <w:p w:rsidR="00000000" w:rsidDel="00000000" w:rsidP="00000000" w:rsidRDefault="00000000" w:rsidRPr="00000000" w14:paraId="0000007A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Труднощі у комунікації:</w:t>
      </w:r>
    </w:p>
    <w:p w:rsidR="00000000" w:rsidDel="00000000" w:rsidP="00000000" w:rsidRDefault="00000000" w:rsidRPr="00000000" w14:paraId="0000007C">
      <w:pPr>
        <w:spacing w:line="240" w:lineRule="auto"/>
        <w:ind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Більшість опитаних жителів (62%) зазначили, що хочуть отримувати інформацію про соціально важливі події та соціальні послуги у їхній громаді. Тоді як з 60% опитаних надавачів послуг вважають, що труднощі  комунікації в їхній громаді полягають саме у «низькій зацікавленості жителів». Такі суперечливі відповіді демонструють, що уявлення надавачів послуг про інтереси мешканців громади не відповідає дійсності і, відповідно,  може впливати на рівень приділення уваги щодо проведення інформаційної роботи.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Крім того, 13% респондентів із числа надавачів пов’язують труднощі комунікації з жителями із відсутністю співпраці із засобами масової інформації, а інші 8 % -  із відсутністю фахівця або відповідальної особи з комунікації. </w:t>
      </w:r>
    </w:p>
    <w:p w:rsidR="00000000" w:rsidDel="00000000" w:rsidP="00000000" w:rsidRDefault="00000000" w:rsidRPr="00000000" w14:paraId="0000007F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Комунікація із вразливими категоріями жителів громади: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8"/>
        </w:numPr>
        <w:spacing w:line="240" w:lineRule="auto"/>
        <w:ind w:left="720" w:hanging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Надавачі послуг громади однаковою мірою інформують вразливі групи населення під час особистої розмови або повідомленням по телефону, а також через розміщення оголошення у соціальних установах (відділі соціального захисту, центрі надання соціальних послуг, ЦНАПі) та у школах. Вартує звернути увагу, що особистий контакт дає можливість чітко пояснити та роз'яснити усю інформацію та бути певним, що споживач її отримав. </w:t>
      </w:r>
    </w:p>
    <w:p w:rsidR="00000000" w:rsidDel="00000000" w:rsidP="00000000" w:rsidRDefault="00000000" w:rsidRPr="00000000" w14:paraId="00000082">
      <w:pPr>
        <w:numPr>
          <w:ilvl w:val="0"/>
          <w:numId w:val="8"/>
        </w:numPr>
        <w:spacing w:line="240" w:lineRule="auto"/>
        <w:ind w:left="720" w:hanging="630"/>
        <w:jc w:val="both"/>
        <w:rPr>
          <w:rFonts w:ascii="Times New Roman" w:cs="Times New Roman" w:eastAsia="Times New Roman" w:hAnsi="Times New Roman"/>
          <w:color w:val="99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Також ми запитали у надавачів послуг, які види комунікацій, що відповідають на спеціальні потреби та використовуються в їхній громаді. Були запропоновані такі варіанти: повідомлення шрифтом Брайля, підлаштування сайту під потреби нечуючих осіб/осіб з порушеннями зору, дублювання текстів мовою нацменшин, озвучення повідомлень/аудіоповідомлення. Надавачі Гніздичівської територіальної громади зазначили, що використовують повідомлення шрифтом Брайля та готують аудіоповідомлення.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60" w:line="240" w:lineRule="auto"/>
        <w:ind w:left="-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2.4. Шляхи покращення комунікації в громаді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160" w:line="240" w:lineRule="auto"/>
        <w:ind w:left="9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ефективного обміну інформацією жителі зазначили, якими каналами їм буде найзручніше отримувати соціально важливу інформацію. Більшість респондентів хотіли б отримувати соціально важливу інформацію через кілька каналів комунікації. Бажані канали комунікації зазначені у діаграмі 3. На першому місці (27%) тут виявилися оголошення у соціальних установах (відділі соціального захисту, ЦНАП, службі у справах дітей), 22% хоче бачити оголошення про соціально важливі події у публічних місцях, така сама кількість респондентів - читати про них на офіційному сайті, 20% - чути на зборах громади. </w:t>
      </w:r>
    </w:p>
    <w:p w:rsidR="00000000" w:rsidDel="00000000" w:rsidP="00000000" w:rsidRDefault="00000000" w:rsidRPr="00000000" w14:paraId="00000086">
      <w:pPr>
        <w:spacing w:line="240" w:lineRule="auto"/>
        <w:ind w:left="720" w:firstLine="0"/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Діаграма  3. Бажані канали  отримання соціально важливої інформації, кількість респондентів, з числа жителів громади, охоплених опитуванням</w:t>
      </w:r>
    </w:p>
    <w:p w:rsidR="00000000" w:rsidDel="00000000" w:rsidP="00000000" w:rsidRDefault="00000000" w:rsidRPr="00000000" w14:paraId="0000008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133975" cy="2790825"/>
            <wp:effectExtent b="0" l="0" r="0" t="0"/>
            <wp:docPr descr="Points scored" id="6" name="image2.png"/>
            <a:graphic>
              <a:graphicData uri="http://schemas.openxmlformats.org/drawingml/2006/picture">
                <pic:pic>
                  <pic:nvPicPr>
                    <pic:cNvPr descr="Points scored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790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line="240" w:lineRule="auto"/>
        <w:ind w:left="45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Надавачі соціальних послуг вважають, що для покращення комунікації в громаді потрібно влаштовувати особисті зустрічі із фахівцями для обміну інформацією (43%), розповсюджувати друковані матеріали з основними повідомленнями чи закликами (37%), оновити офіційний сайт (23%) (діаграма 4). Цікаво, що надавачі послуг зазначають також про потреби у створенні сторінки в соціальних мережах (18%), хоча сторінка у Facebook є у кожній громаді, тому потрібно лише правильно її наповнювати та популяризувати. 13% надавачів зазначили, що потребують навчання із комунікації.</w:t>
      </w:r>
    </w:p>
    <w:p w:rsidR="00000000" w:rsidDel="00000000" w:rsidP="00000000" w:rsidRDefault="00000000" w:rsidRPr="00000000" w14:paraId="0000008A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Діаграма  4. Бажані канали  отримання соціально важливої інформації, кількість респондентів, з числа жителів громади, охоплених опитуванням</w:t>
      </w:r>
    </w:p>
    <w:p w:rsidR="00000000" w:rsidDel="00000000" w:rsidP="00000000" w:rsidRDefault="00000000" w:rsidRPr="00000000" w14:paraId="0000008C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60" w:line="240" w:lineRule="auto"/>
        <w:ind w:left="-9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588296" cy="2841830"/>
            <wp:effectExtent b="0" l="0" r="0" t="0"/>
            <wp:docPr descr="Points scored" id="8" name="image4.png"/>
            <a:graphic>
              <a:graphicData uri="http://schemas.openxmlformats.org/drawingml/2006/picture">
                <pic:pic>
                  <pic:nvPicPr>
                    <pic:cNvPr descr="Points scored"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8296" cy="2841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ІІІ. Висновки та рекомендації </w:t>
      </w:r>
    </w:p>
    <w:p w:rsidR="00000000" w:rsidDel="00000000" w:rsidP="00000000" w:rsidRDefault="00000000" w:rsidRPr="00000000" w14:paraId="00000090">
      <w:pPr>
        <w:spacing w:line="24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Загалом, жителі громади ознайомлені із тим, що таке соціальні послуги та де вони можуть їх отримати. Для того, аби жителі могли отримувати усю необхідну соціально важливу інформацію, а надавачі послуг (соціальних, медичних, освітніх) виконували свої обов’язки ефективно, потрібно оновити методи комунікації в громаді та використовувати різні канали комунікації (електронні, друковані, усні у вигляді тематичних зустрічей, обговорень,</w:t>
      </w:r>
    </w:p>
    <w:p w:rsidR="00000000" w:rsidDel="00000000" w:rsidP="00000000" w:rsidRDefault="00000000" w:rsidRPr="00000000" w14:paraId="0000009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презентацій), які б враховували особливості цільових груп населення. </w:t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вдосконалення підходів до поширення соціально важливої інформації, з урахуванням особливостей та потреб різних груп населення територіальних громад доцільно:</w:t>
      </w:r>
    </w:p>
    <w:p w:rsidR="00000000" w:rsidDel="00000000" w:rsidP="00000000" w:rsidRDefault="00000000" w:rsidRPr="00000000" w14:paraId="0000009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spacing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Розвивати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офіційний сайт та сторінки у соціальних мережах, зокрема: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забезпечити поточне наповнення сайту / сторінки у Facebook інформацією, принаймні 2-3 рази на тиждень, щоб жителі громад мали доступ до оновленої інформації, знали, що на даних ресурсах є корисні матеріали, звикли до користування; для цього можна залучати активних жителів громади, волонтерів; </w:t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створити сторінку в Instagram (якщо не створена) та забезпечити поширення інформації для підлітків і молоді;</w:t>
      </w:r>
    </w:p>
    <w:p w:rsidR="00000000" w:rsidDel="00000000" w:rsidP="00000000" w:rsidRDefault="00000000" w:rsidRPr="00000000" w14:paraId="00000099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популяризувати сайт громади та сторінки у соціальних мережах серед жителів поширення інформації про сайт в  друкованих оголошеннях, які можна розмістити в публічних місцях, розміщення на сторінках в соціальних мережах, під час заходів, які проводяться в громаді, тощо;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5"/>
        </w:numPr>
        <w:spacing w:line="240" w:lineRule="auto"/>
        <w:ind w:left="283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Забезпечити розміщення оголошень в місцях публічного відвідування, зокрема,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ЦНАП, в міській/сільській/селищній раді, в церкві, в магазинах,  на зупинках транспорту, тощо.</w:t>
      </w:r>
    </w:p>
    <w:p w:rsidR="00000000" w:rsidDel="00000000" w:rsidP="00000000" w:rsidRDefault="00000000" w:rsidRPr="00000000" w14:paraId="0000009C">
      <w:pPr>
        <w:spacing w:line="240" w:lineRule="auto"/>
        <w:ind w:left="283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Посилити співпрацю із місцевими газетами, радіо, сайтами,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надавати їм інформацію для розміщення та підготовки статей, оглядів (наприклад, зробити колонку про соціальні послуги, діяльність фахівців із соціальної роботи, успішні випадки вирішення проблем сімей, влаштування дітей в сімейні форми виховання), публікації оголошень.</w:t>
      </w:r>
    </w:p>
    <w:p w:rsidR="00000000" w:rsidDel="00000000" w:rsidP="00000000" w:rsidRDefault="00000000" w:rsidRPr="00000000" w14:paraId="0000009E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Проводити тематичні зустрічі з жителями громади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на регулярній основі з певними спеціалістами або представниками влади у громаді (наприклад, для інформування про ту чи іншу послугу, обговорення, які проблемні питання соціального характеру виникають у жителів громад, і як їх можна вирішувати). Це дасть можливість отримувати інформацію навіть тим, хто не користується іншими методами комунікації. </w:t>
      </w:r>
    </w:p>
    <w:p w:rsidR="00000000" w:rsidDel="00000000" w:rsidP="00000000" w:rsidRDefault="00000000" w:rsidRPr="00000000" w14:paraId="000000A0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Співпрацювати з церквою,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розміщувати оголошення на дошці оголошень в церкві, домовитися про можливість озвучувати необхідні для жителів повідомлення після служби, організовувати зустрічі з духовенством для розмови, обміну інформацією про соціально важливі питання, які вони можуть доносити до жителів, брати участь у вирішенні проблемних питань. </w:t>
      </w:r>
    </w:p>
    <w:p w:rsidR="00000000" w:rsidDel="00000000" w:rsidP="00000000" w:rsidRDefault="00000000" w:rsidRPr="00000000" w14:paraId="000000A2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Забезпечити комунікацію на міжвідомчому рівні, зокрема: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обмін інформацією на різних сторінках у соціальних мережах та публікацію повідомлень на сайтах усіх установ/закладів, якщо такі сторінки/сайти створено (наприклад, на сайті бібліотеки, сайті шкіл, лікарень);</w:t>
      </w:r>
    </w:p>
    <w:p w:rsidR="00000000" w:rsidDel="00000000" w:rsidP="00000000" w:rsidRDefault="00000000" w:rsidRPr="00000000" w14:paraId="000000A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проводити спільні короткі наради щодо співпраці у запровадженні напрямків роботи, введення нових послуг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 т.д. для того, щоб кожен міг переадресувати жителя громади при виявленні потреб, що можуть бути задоволені іншим надавачем послуг.</w:t>
      </w:r>
    </w:p>
    <w:sectPr>
      <w:footerReference r:id="rId13" w:type="default"/>
      <w:pgSz w:h="15840" w:w="12240" w:orient="portrait"/>
      <w:pgMar w:bottom="1440" w:top="1440" w:left="135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18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a8">
    <w:name w:val="List Paragraph"/>
    <w:basedOn w:val="a"/>
    <w:uiPriority w:val="34"/>
    <w:qFormat w:val="1"/>
    <w:rsid w:val="0020580F"/>
    <w:pPr>
      <w:ind w:left="720"/>
      <w:contextualSpacing w:val="1"/>
    </w:pPr>
  </w:style>
  <w:style w:type="paragraph" w:styleId="a9">
    <w:name w:val="Normal (Web)"/>
    <w:basedOn w:val="a"/>
    <w:uiPriority w:val="99"/>
    <w:semiHidden w:val="1"/>
    <w:unhideWhenUsed w:val="1"/>
    <w:rsid w:val="0052264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apple-tab-span" w:customStyle="1">
    <w:name w:val="apple-tab-span"/>
    <w:basedOn w:val="a0"/>
    <w:rsid w:val="0052264E"/>
  </w:style>
  <w:style w:type="paragraph" w:styleId="aa">
    <w:name w:val="header"/>
    <w:basedOn w:val="a"/>
    <w:link w:val="ab"/>
    <w:uiPriority w:val="99"/>
    <w:unhideWhenUsed w:val="1"/>
    <w:rsid w:val="00743026"/>
    <w:pPr>
      <w:tabs>
        <w:tab w:val="center" w:pos="4680"/>
        <w:tab w:val="right" w:pos="9360"/>
      </w:tabs>
      <w:spacing w:line="240" w:lineRule="auto"/>
    </w:pPr>
  </w:style>
  <w:style w:type="character" w:styleId="ab" w:customStyle="1">
    <w:name w:val="Верхний колонтитул Знак"/>
    <w:basedOn w:val="a0"/>
    <w:link w:val="aa"/>
    <w:uiPriority w:val="99"/>
    <w:rsid w:val="00743026"/>
  </w:style>
  <w:style w:type="paragraph" w:styleId="ac">
    <w:name w:val="footer"/>
    <w:basedOn w:val="a"/>
    <w:link w:val="ad"/>
    <w:uiPriority w:val="99"/>
    <w:unhideWhenUsed w:val="1"/>
    <w:rsid w:val="00743026"/>
    <w:pPr>
      <w:tabs>
        <w:tab w:val="center" w:pos="4680"/>
        <w:tab w:val="right" w:pos="9360"/>
      </w:tabs>
      <w:spacing w:line="240" w:lineRule="auto"/>
    </w:pPr>
  </w:style>
  <w:style w:type="character" w:styleId="ad" w:customStyle="1">
    <w:name w:val="Нижний колонтитул Знак"/>
    <w:basedOn w:val="a0"/>
    <w:link w:val="ac"/>
    <w:uiPriority w:val="99"/>
    <w:rsid w:val="00743026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C62gAuJB8YNzniBc8" TargetMode="External"/><Relationship Id="rId8" Type="http://schemas.openxmlformats.org/officeDocument/2006/relationships/hyperlink" Target="https://forms.gle/kQRqQtZ7djyrRMNu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25JH9inXMKp/Hzcig52wxnCsA==">AMUW2mWtclhssF5TCWAlisIsgbV2ipVMGJdia16+VcrgOIvD4xtK2ZbeLOx8SPHyuQ9qTi3dG9ptoYq3MuFnwb51ndbaw6MwQFb7jxlOuurhCw8rmM7PMMEysXzUG/+4oIXU7bBY/8FD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2020-11-25T16:12:00Z</dcterms:created>
  <dc:creator>Olha Boyko</dc:creator>
</cp:coreProperties>
</file>