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Звіт за результатами опитування посадових осіб органу місцевого самоврядування Гніздичівської територіальної громади</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5-6 жовтня 2020 року</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Актуальність. </w:t>
      </w:r>
      <w:r w:rsidDel="00000000" w:rsidR="00000000" w:rsidRPr="00000000">
        <w:rPr>
          <w:rtl w:val="0"/>
        </w:rPr>
        <w:t xml:space="preserve">Визначення</w:t>
      </w:r>
      <w:r w:rsidDel="00000000" w:rsidR="00000000" w:rsidRPr="00000000">
        <w:rPr>
          <w:b w:val="1"/>
          <w:rtl w:val="0"/>
        </w:rPr>
        <w:t xml:space="preserve"> </w:t>
      </w:r>
      <w:r w:rsidDel="00000000" w:rsidR="00000000" w:rsidRPr="00000000">
        <w:rPr>
          <w:rtl w:val="0"/>
        </w:rPr>
        <w:t xml:space="preserve">рівня обізнаності серед управлінців.</w:t>
      </w:r>
      <w:r w:rsidDel="00000000" w:rsidR="00000000" w:rsidRPr="00000000">
        <w:rPr>
          <w:rtl w:val="0"/>
        </w:rPr>
      </w:r>
    </w:p>
    <w:p w:rsidR="00000000" w:rsidDel="00000000" w:rsidP="00000000" w:rsidRDefault="00000000" w:rsidRPr="00000000" w14:paraId="00000005">
      <w:pPr>
        <w:ind w:left="720" w:firstLine="0"/>
        <w:rPr>
          <w:b w:val="1"/>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b w:val="1"/>
          <w:rtl w:val="0"/>
        </w:rPr>
        <w:t xml:space="preserve">Мета опитування: </w:t>
      </w:r>
      <w:r w:rsidDel="00000000" w:rsidR="00000000" w:rsidRPr="00000000">
        <w:rPr>
          <w:rtl w:val="0"/>
        </w:rPr>
        <w:t xml:space="preserve">Вивчити потреби громади у соціальних послугах для забезпечення розвитку необхідних послуг.</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Вид опитування: </w:t>
      </w:r>
      <w:r w:rsidDel="00000000" w:rsidR="00000000" w:rsidRPr="00000000">
        <w:rPr>
          <w:rtl w:val="0"/>
        </w:rPr>
        <w:t xml:space="preserve">Опитування проводилося у вигляді інтерв’ю.</w:t>
      </w:r>
      <w:r w:rsidDel="00000000" w:rsidR="00000000" w:rsidRPr="00000000">
        <w:rPr>
          <w:rtl w:val="0"/>
        </w:rPr>
      </w:r>
    </w:p>
    <w:p w:rsidR="00000000" w:rsidDel="00000000" w:rsidP="00000000" w:rsidRDefault="00000000" w:rsidRPr="00000000" w14:paraId="00000009">
      <w:pPr>
        <w:ind w:left="720" w:firstLine="0"/>
        <w:rPr>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Вибірка:</w:t>
      </w:r>
    </w:p>
    <w:p w:rsidR="00000000" w:rsidDel="00000000" w:rsidP="00000000" w:rsidRDefault="00000000" w:rsidRPr="00000000" w14:paraId="0000000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Якісний і кількісний склад учасників опитування </w:t>
      </w:r>
    </w:p>
    <w:tbl>
      <w:tblPr>
        <w:tblStyle w:val="Table1"/>
        <w:tblW w:w="91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
        <w:gridCol w:w="1507"/>
        <w:gridCol w:w="829"/>
        <w:gridCol w:w="829"/>
        <w:gridCol w:w="829"/>
        <w:gridCol w:w="1237"/>
        <w:gridCol w:w="1237"/>
        <w:gridCol w:w="1237"/>
        <w:gridCol w:w="1237"/>
        <w:tblGridChange w:id="0">
          <w:tblGrid>
            <w:gridCol w:w="256"/>
            <w:gridCol w:w="1507"/>
            <w:gridCol w:w="829"/>
            <w:gridCol w:w="829"/>
            <w:gridCol w:w="829"/>
            <w:gridCol w:w="1237"/>
            <w:gridCol w:w="1237"/>
            <w:gridCol w:w="1237"/>
            <w:gridCol w:w="1237"/>
          </w:tblGrid>
        </w:tblGridChange>
      </w:tblGrid>
      <w:tr>
        <w:trPr>
          <w:trHeight w:val="240" w:hRule="atLeast"/>
        </w:trPr>
        <w:tc>
          <w:tcPr>
            <w:vMerge w:val="restart"/>
            <w:shd w:fill="f2f2f2" w:val="clear"/>
          </w:tcPr>
          <w:p w:rsidR="00000000" w:rsidDel="00000000" w:rsidP="00000000" w:rsidRDefault="00000000" w:rsidRPr="00000000" w14:paraId="0000000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tc>
        <w:tc>
          <w:tcPr>
            <w:vMerge w:val="restart"/>
            <w:shd w:fill="f2f2f2" w:val="clear"/>
          </w:tcPr>
          <w:p w:rsidR="00000000" w:rsidDel="00000000" w:rsidP="00000000" w:rsidRDefault="00000000" w:rsidRPr="00000000" w14:paraId="0000000E">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Посада</w:t>
            </w:r>
            <w:r w:rsidDel="00000000" w:rsidR="00000000" w:rsidRPr="00000000">
              <w:rPr>
                <w:rtl w:val="0"/>
              </w:rPr>
            </w:r>
          </w:p>
        </w:tc>
        <w:tc>
          <w:tcPr>
            <w:vMerge w:val="restart"/>
            <w:shd w:fill="f2f2f2" w:val="clear"/>
          </w:tcPr>
          <w:p w:rsidR="00000000" w:rsidDel="00000000" w:rsidP="00000000" w:rsidRDefault="00000000" w:rsidRPr="00000000" w14:paraId="0000000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К-ть учасників</w:t>
            </w:r>
          </w:p>
          <w:p w:rsidR="00000000" w:rsidDel="00000000" w:rsidP="00000000" w:rsidRDefault="00000000" w:rsidRPr="00000000" w14:paraId="00000010">
            <w:pPr>
              <w:spacing w:line="240" w:lineRule="auto"/>
              <w:jc w:val="center"/>
              <w:rPr>
                <w:rFonts w:ascii="Calibri" w:cs="Calibri" w:eastAsia="Calibri" w:hAnsi="Calibri"/>
                <w:sz w:val="24"/>
                <w:szCs w:val="24"/>
              </w:rPr>
            </w:pPr>
            <w:r w:rsidDel="00000000" w:rsidR="00000000" w:rsidRPr="00000000">
              <w:rPr>
                <w:rtl w:val="0"/>
              </w:rPr>
            </w:r>
          </w:p>
        </w:tc>
        <w:tc>
          <w:tcPr>
            <w:gridSpan w:val="2"/>
            <w:shd w:fill="f2f2f2" w:val="clear"/>
          </w:tcPr>
          <w:p w:rsidR="00000000" w:rsidDel="00000000" w:rsidP="00000000" w:rsidRDefault="00000000" w:rsidRPr="00000000" w14:paraId="0000001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Стать</w:t>
            </w:r>
          </w:p>
        </w:tc>
        <w:tc>
          <w:tcPr>
            <w:vMerge w:val="restart"/>
            <w:shd w:fill="f2f2f2" w:val="clear"/>
          </w:tcPr>
          <w:p w:rsidR="00000000" w:rsidDel="00000000" w:rsidP="00000000" w:rsidRDefault="00000000" w:rsidRPr="00000000" w14:paraId="0000001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Вік</w:t>
            </w:r>
          </w:p>
        </w:tc>
        <w:tc>
          <w:tcPr>
            <w:vMerge w:val="restart"/>
            <w:shd w:fill="f2f2f2" w:val="clea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Місце проживання (назва міста, села, селища)</w:t>
            </w:r>
          </w:p>
        </w:tc>
        <w:tc>
          <w:tcPr>
            <w:vMerge w:val="restart"/>
            <w:shd w:fill="f2f2f2" w:val="clear"/>
          </w:tcPr>
          <w:p w:rsidR="00000000" w:rsidDel="00000000" w:rsidP="00000000" w:rsidRDefault="00000000" w:rsidRPr="00000000" w14:paraId="0000001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Дата проведення</w:t>
            </w:r>
          </w:p>
        </w:tc>
        <w:tc>
          <w:tcPr>
            <w:vMerge w:val="restart"/>
            <w:shd w:fill="f2f2f2" w:val="clear"/>
          </w:tcPr>
          <w:p w:rsidR="00000000" w:rsidDel="00000000" w:rsidP="00000000" w:rsidRDefault="00000000" w:rsidRPr="00000000" w14:paraId="0000001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Тривалість</w:t>
            </w:r>
          </w:p>
        </w:tc>
      </w:tr>
      <w:tr>
        <w:trPr>
          <w:trHeight w:val="240" w:hRule="atLeast"/>
        </w:trPr>
        <w:tc>
          <w:tcPr>
            <w:vMerge w:val="continue"/>
            <w:shd w:fill="f2f2f2"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A">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чоловіча</w:t>
            </w:r>
          </w:p>
        </w:tc>
        <w:tc>
          <w:tcPr/>
          <w:p w:rsidR="00000000" w:rsidDel="00000000" w:rsidP="00000000" w:rsidRDefault="00000000" w:rsidRPr="00000000" w14:paraId="0000001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Жіноча</w:t>
            </w:r>
          </w:p>
        </w:tc>
        <w:tc>
          <w:tcPr>
            <w:vMerge w:val="continue"/>
            <w:shd w:fill="f2f2f2"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shd w:fill="f2f2f2"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Начальник СуСД</w:t>
            </w:r>
          </w:p>
        </w:tc>
        <w:tc>
          <w:tcPr/>
          <w:p w:rsidR="00000000" w:rsidDel="00000000" w:rsidP="00000000" w:rsidRDefault="00000000" w:rsidRPr="00000000" w14:paraId="0000002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23">
            <w:pPr>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2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w:t>
            </w:r>
          </w:p>
        </w:tc>
        <w:tc>
          <w:tcPr/>
          <w:p w:rsidR="00000000" w:rsidDel="00000000" w:rsidP="00000000" w:rsidRDefault="00000000" w:rsidRPr="00000000" w14:paraId="0000002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Смт.Гніздичів</w:t>
            </w:r>
          </w:p>
        </w:tc>
        <w:tc>
          <w:tcPr/>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жовтня</w:t>
            </w:r>
          </w:p>
        </w:tc>
        <w:tc>
          <w:tcPr/>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 хв</w:t>
            </w:r>
          </w:p>
        </w:tc>
      </w:tr>
      <w:tr>
        <w:tc>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Керуючий справами виконкому</w:t>
            </w:r>
          </w:p>
        </w:tc>
        <w:tc>
          <w:tcPr/>
          <w:p w:rsidR="00000000" w:rsidDel="00000000" w:rsidP="00000000" w:rsidRDefault="00000000" w:rsidRPr="00000000" w14:paraId="0000002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2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2D">
            <w:pPr>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w:t>
            </w:r>
          </w:p>
        </w:tc>
        <w:tc>
          <w:tcPr/>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Смт.Гніздичів</w:t>
            </w:r>
          </w:p>
        </w:tc>
        <w:tc>
          <w:tcPr/>
          <w:p w:rsidR="00000000" w:rsidDel="00000000" w:rsidP="00000000" w:rsidRDefault="00000000" w:rsidRPr="00000000" w14:paraId="0000003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жовтня</w:t>
            </w:r>
          </w:p>
        </w:tc>
        <w:tc>
          <w:tcPr/>
          <w:p w:rsidR="00000000" w:rsidDel="00000000" w:rsidP="00000000" w:rsidRDefault="00000000" w:rsidRPr="00000000" w14:paraId="0000003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 хв</w:t>
            </w:r>
          </w:p>
        </w:tc>
      </w:tr>
      <w:tr>
        <w:tc>
          <w:tcPr>
            <w:shd w:fill="e7e6e6" w:val="clea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c>
          <w:tcPr>
            <w:shd w:fill="e7e6e6" w:val="clea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Всього</w:t>
            </w:r>
          </w:p>
        </w:tc>
        <w:tc>
          <w:tcPr>
            <w:shd w:fill="e7e6e6" w:val="clear"/>
          </w:tcPr>
          <w:p w:rsidR="00000000" w:rsidDel="00000000" w:rsidP="00000000" w:rsidRDefault="00000000" w:rsidRPr="00000000" w14:paraId="00000034">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w:t>
            </w:r>
          </w:p>
        </w:tc>
        <w:tc>
          <w:tcPr>
            <w:shd w:fill="e7e6e6" w:val="clear"/>
          </w:tcPr>
          <w:p w:rsidR="00000000" w:rsidDel="00000000" w:rsidP="00000000" w:rsidRDefault="00000000" w:rsidRPr="00000000" w14:paraId="00000035">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w:t>
            </w:r>
          </w:p>
        </w:tc>
        <w:tc>
          <w:tcPr>
            <w:shd w:fill="e7e6e6" w:val="clear"/>
          </w:tcPr>
          <w:p w:rsidR="00000000" w:rsidDel="00000000" w:rsidP="00000000" w:rsidRDefault="00000000" w:rsidRPr="00000000" w14:paraId="00000036">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w:t>
            </w:r>
          </w:p>
        </w:tc>
        <w:tc>
          <w:tcPr>
            <w:shd w:fill="e7e6e6" w:val="clear"/>
          </w:tcPr>
          <w:p w:rsidR="00000000" w:rsidDel="00000000" w:rsidP="00000000" w:rsidRDefault="00000000" w:rsidRPr="00000000" w14:paraId="00000037">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50,5</w:t>
            </w:r>
          </w:p>
        </w:tc>
        <w:tc>
          <w:tcPr>
            <w:shd w:fill="e7e6e6" w:val="clear"/>
          </w:tcPr>
          <w:p w:rsidR="00000000" w:rsidDel="00000000" w:rsidP="00000000" w:rsidRDefault="00000000" w:rsidRPr="00000000" w14:paraId="00000038">
            <w:pPr>
              <w:spacing w:line="240" w:lineRule="auto"/>
              <w:jc w:val="center"/>
              <w:rPr>
                <w:rFonts w:ascii="Calibri" w:cs="Calibri" w:eastAsia="Calibri" w:hAnsi="Calibri"/>
                <w:i w:val="1"/>
                <w:sz w:val="24"/>
                <w:szCs w:val="24"/>
              </w:rPr>
            </w:pPr>
            <w:r w:rsidDel="00000000" w:rsidR="00000000" w:rsidRPr="00000000">
              <w:rPr>
                <w:rtl w:val="0"/>
              </w:rPr>
            </w:r>
          </w:p>
        </w:tc>
        <w:tc>
          <w:tcPr>
            <w:shd w:fill="e7e6e6" w:val="clear"/>
          </w:tcPr>
          <w:p w:rsidR="00000000" w:rsidDel="00000000" w:rsidP="00000000" w:rsidRDefault="00000000" w:rsidRPr="00000000" w14:paraId="00000039">
            <w:pPr>
              <w:spacing w:line="240" w:lineRule="auto"/>
              <w:jc w:val="center"/>
              <w:rPr>
                <w:rFonts w:ascii="Calibri" w:cs="Calibri" w:eastAsia="Calibri" w:hAnsi="Calibri"/>
                <w:i w:val="1"/>
                <w:sz w:val="24"/>
                <w:szCs w:val="24"/>
              </w:rPr>
            </w:pPr>
            <w:r w:rsidDel="00000000" w:rsidR="00000000" w:rsidRPr="00000000">
              <w:rPr>
                <w:rtl w:val="0"/>
              </w:rPr>
            </w:r>
          </w:p>
        </w:tc>
        <w:tc>
          <w:tcPr>
            <w:shd w:fill="e7e6e6" w:val="clear"/>
          </w:tcPr>
          <w:p w:rsidR="00000000" w:rsidDel="00000000" w:rsidP="00000000" w:rsidRDefault="00000000" w:rsidRPr="00000000" w14:paraId="0000003A">
            <w:pPr>
              <w:spacing w:line="240" w:lineRule="auto"/>
              <w:jc w:val="center"/>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ind w:left="720" w:firstLine="0"/>
        <w:rPr>
          <w:b w:val="1"/>
        </w:rPr>
      </w:pPr>
      <w:r w:rsidDel="00000000" w:rsidR="00000000" w:rsidRPr="00000000">
        <w:rPr>
          <w:rtl w:val="0"/>
        </w:rPr>
      </w:r>
    </w:p>
    <w:p w:rsidR="00000000" w:rsidDel="00000000" w:rsidP="00000000" w:rsidRDefault="00000000" w:rsidRPr="00000000" w14:paraId="0000003D">
      <w:pPr>
        <w:ind w:left="720" w:firstLine="0"/>
        <w:rPr>
          <w:b w:val="1"/>
        </w:rPr>
      </w:pPr>
      <w:r w:rsidDel="00000000" w:rsidR="00000000" w:rsidRPr="00000000">
        <w:rPr>
          <w:rtl w:val="0"/>
        </w:rPr>
      </w:r>
    </w:p>
    <w:p w:rsidR="00000000" w:rsidDel="00000000" w:rsidP="00000000" w:rsidRDefault="00000000" w:rsidRPr="00000000" w14:paraId="0000003E">
      <w:pPr>
        <w:numPr>
          <w:ilvl w:val="0"/>
          <w:numId w:val="3"/>
        </w:numPr>
        <w:ind w:left="720" w:hanging="360"/>
        <w:rPr>
          <w:b w:val="1"/>
        </w:rPr>
      </w:pPr>
      <w:r w:rsidDel="00000000" w:rsidR="00000000" w:rsidRPr="00000000">
        <w:rPr>
          <w:b w:val="1"/>
          <w:rtl w:val="0"/>
        </w:rPr>
        <w:t xml:space="preserve">Інформація про Модератора/Інтерв’юера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Інтерв’ю  проводила фахівець із соціальної роботи КЗ «Гніздичівський ЦСО» - Медюх Ірина.</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numPr>
          <w:ilvl w:val="0"/>
          <w:numId w:val="4"/>
        </w:numPr>
        <w:ind w:left="720" w:hanging="360"/>
        <w:rPr>
          <w:b w:val="1"/>
        </w:rPr>
      </w:pPr>
      <w:r w:rsidDel="00000000" w:rsidR="00000000" w:rsidRPr="00000000">
        <w:rPr>
          <w:b w:val="1"/>
          <w:rtl w:val="0"/>
        </w:rPr>
        <w:t xml:space="preserve">Основні результати: </w:t>
      </w:r>
    </w:p>
    <w:p w:rsidR="00000000" w:rsidDel="00000000" w:rsidP="00000000" w:rsidRDefault="00000000" w:rsidRPr="00000000" w14:paraId="00000042">
      <w:pPr>
        <w:ind w:left="360" w:firstLine="0"/>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28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Чи у Вашій громаді є розроблена та затверджена Стратегія розвитку ОТГ?</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1.1.Чи Ви ознайомлені з цією стратегією?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Так</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 Чи відомо Вам, чи під час розробки проєкту Стратегії розвитку ОТГ проводилися безпосередньо консультації із різними групами жінок, чоловіків, зокрема із числа вразливих?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284"/>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1.3.Як Ви вважаєте, чи є труднощі в реалізації цієї Стратегії з точки зору створення і розвитку системи послуг для дітей і сімей? Якщо так, то які?</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Чи Ви готові ініціювати внесення змін або доповнень до Стратегії розвитку громади, якщо під час визначення потреб населення в соціальних послугах виявиться, що є така потреба?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На який термін в громаді затверджено Цільову програму розвитку і як Ви оцінюєте виконання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Цільової програми розвитку громади у сфері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розвитку освіти за 5-ти бальною шкалою (де 5 – дуже добре, а 1 – дуже погано, </w:t>
      </w:r>
      <w:r w:rsidDel="00000000" w:rsidR="00000000" w:rsidRPr="00000000">
        <w:rPr>
          <w:rFonts w:ascii="Times New Roman" w:cs="Times New Roman" w:eastAsia="Times New Roman" w:hAnsi="Times New Roman"/>
          <w:b w:val="1"/>
          <w:rtl w:val="0"/>
        </w:rPr>
        <w:t xml:space="preserve">0 – немає такої Цільової програми):</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0   1   2   3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5          </w:t>
        <w:tab/>
        <w:t xml:space="preserve">  Цільова програма затверджена на 2016 - 2025 роки</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розвитку інклюзивної освіти за 5-ти бальною шкалою (де 5 – дуже добре, а 1 – дуже погано, </w:t>
      </w:r>
      <w:r w:rsidDel="00000000" w:rsidR="00000000" w:rsidRPr="00000000">
        <w:rPr>
          <w:rFonts w:ascii="Times New Roman" w:cs="Times New Roman" w:eastAsia="Times New Roman" w:hAnsi="Times New Roman"/>
          <w:b w:val="1"/>
          <w:rtl w:val="0"/>
        </w:rPr>
        <w:t xml:space="preserve">0 – немає такої Цільової програми):</w:t>
      </w:r>
      <w:r w:rsidDel="00000000" w:rsidR="00000000" w:rsidRPr="00000000">
        <w:rPr>
          <w:rtl w:val="0"/>
        </w:rPr>
      </w:r>
    </w:p>
    <w:p w:rsidR="00000000" w:rsidDel="00000000" w:rsidP="00000000" w:rsidRDefault="00000000" w:rsidRPr="00000000" w14:paraId="0000005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0   1   2   3   4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tab/>
        <w:t xml:space="preserve">  Цільова програма затверджена на 2016 - 2025  роки</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розвитку медицини за 5-ти бальною шкалою (де 5 – дуже добре, а 1 – дуже погано, </w:t>
      </w:r>
      <w:r w:rsidDel="00000000" w:rsidR="00000000" w:rsidRPr="00000000">
        <w:rPr>
          <w:rFonts w:ascii="Times New Roman" w:cs="Times New Roman" w:eastAsia="Times New Roman" w:hAnsi="Times New Roman"/>
          <w:b w:val="1"/>
          <w:rtl w:val="0"/>
        </w:rPr>
        <w:t xml:space="preserve">0 – немає такої Цільової програми):</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0   1   2   3   4   </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tab/>
        <w:t xml:space="preserve">  Цільова програма затверджена на 2016 - 2025  роки</w:t>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розвитку соціальних послуг в громаді за 5-ти бальною шкалою (де 5 – дуже добре, а 1 – дуже погано, </w:t>
      </w:r>
      <w:r w:rsidDel="00000000" w:rsidR="00000000" w:rsidRPr="00000000">
        <w:rPr>
          <w:rFonts w:ascii="Times New Roman" w:cs="Times New Roman" w:eastAsia="Times New Roman" w:hAnsi="Times New Roman"/>
          <w:b w:val="1"/>
          <w:rtl w:val="0"/>
        </w:rPr>
        <w:t xml:space="preserve">0 – немає такої Цільової програми):</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0   1   2   3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5          </w:t>
        <w:tab/>
        <w:t xml:space="preserve">  Цільова програма затверджена 2016 - 2025  роки</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розвитку реабілітаційних послуг для дітей з інвалідністю в громаді за 5-ти бальною шкалою (де 5 – дуже добре, а 1 – дуже погано, </w:t>
      </w:r>
      <w:r w:rsidDel="00000000" w:rsidR="00000000" w:rsidRPr="00000000">
        <w:rPr>
          <w:rFonts w:ascii="Times New Roman" w:cs="Times New Roman" w:eastAsia="Times New Roman" w:hAnsi="Times New Roman"/>
          <w:b w:val="1"/>
          <w:rtl w:val="0"/>
        </w:rPr>
        <w:t xml:space="preserve">0 – немає такої Цільової програми):</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Шкала:     </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sz w:val="24"/>
          <w:szCs w:val="24"/>
          <w:rtl w:val="0"/>
        </w:rPr>
        <w:t xml:space="preserve">   1   2   3   4   5          </w:t>
        <w:tab/>
        <w:t xml:space="preserve">  Цільова програма затверджена на 20_____ - 20_____ роки</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На Вашу думку, чи достатньо забезпечені ці Цільові програми коштами, кадрами?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Достатньо </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4.Чи передбачено в Цільових програмах розвитку громади організацію доступності інфраструктури та громадського транспорту для жінок і чоловіків із числа маломобільних груп населення?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Чи є в громаді затверджені механізми та порядок прийняття рішень щодо захисту прав дітей? Якщо так, то що саме? Яка Ваша участь у цих процедурах?</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громаді створена та діє СуСД, основним завданням якої є захист прав та законних інтересів дітей. Також діють: комісія з питань захисту  прав дітей.</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Чи створені і діють при виконкомі ОТГ структури/підрозділи/дорадчі органи, які відповідають за захист прав дітей та підтримку їхніх сімей? Якщо так, то назвіть їх. Які труднощі у їхній діяльності Ви бачите?</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створена  комісія з питань захисту прав дітей </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Чи Ви знаєте як саме відбувається міжвідомча взаємодія різних структур та підрозділів (охорони здоров’я, освіти, соціального захисту, служб у справах дітей, національної поліції, ювенальної поліції) щодо надання соціальних послуг?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Знаю</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*Питання 7.1-7.3 для всіх управлінців крім Голови ОТГ</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Як Ви дієте у випадках виявлення дітей та сімей у складних життєвих обставинах?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Скликаємо комісію з питань захисту прав дітей</w:t>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Виїжджаємо за місцем проживання дітей, спільно з ФСР КЗ «Гніздичівський ЦСО», представниками освіти, медицини та інспектором з ювенальної превенції з метою обстеження умов проживання дітей та прийняття рішень щодо подальшої роботи.</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є труднощі під час міжвідомчої взаємодії? Які? Що потрібно організувати/зробити по-іншому?</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 </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Як Ви дієте у випадках виявлення фактів насильства, та інших проявів жорстокого поводження з дітьми?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Повідомляю потрібні служби.</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Термінова інформую поліцію, медичний заклад, залучивши всіх фахівців виїжджаємо за місцем проживання для з’ясування та підтвердження інформації.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є труднощі під час міжвідомчої взаємодії? Які? Що потрібно організувати/зробити по-іншому?</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 </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 Як Ви дієте у випадках залишення дитини без батьківського піклування?</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було таких випадків.</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Складаємо акт про залишення дитини без батьківського піклування, готуємо відповідні документи про влаштування дитини в заклади соц.захисту дітей, в сім’ю родичів чи медичний заклад, якщо це потрібно, як альтернатива патронат якого на жаль в нас ще не має. </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є труднощі під час міжвідомчої взаємодії? Які? Що потрібно організувати/зробити по-іншому?</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 </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Чи Ви співпрацюєте з недержавними (громадськими, благодійними, релігійними) організаціями для організації надання послуг для дітей і сімей з дітьми?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Ні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 Назвіть недержавні організації, що знаходяться на території Вашої громади:</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 Назвіть недержавні організації, які здійснюють свою діяльність в громаді, але територіально розміщені поза громадою: </w:t>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Немає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*Пит 9-10 для всіх управлінців крім Голови ОТГ</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Чи Ви співпрацюєте у сфері своєї професійної діяльності з надавачами соціальних послуг? Якщо так, то з яких питань найчастіше відбувається співпраця? Чи є труднощі? Які?</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Виїзд до сім’ї як представник влади, якщо є спірні питання </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виїзди до сімей, комісія з питань захисту  прав дітей.</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Чи у сфері своєї професійної діяльності Ви співпрацюєте з надавачами реабілітаційних послуг для дітей? Якщо так, то з яких питань найчастіше відбувається співпраця? Чи є труднощі? Які?</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Ні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Чи в громаді є налагоджена міжвідомча взаємодія надавачів послуг, підрозділів/установ та керівництва органу місцевого самоврядування Вашої громади?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Так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Чи виникають труднощі під час міжвідомчої взаємодії? Якщо так, то які? Що потрібно організувати/зробити по-іншому?</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Чи діє в громаді механізм соціального замовлення, закупівель соціальних послуг у недержавних організацій?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відповідь обведіть колом)</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Ні, не було необхідності</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59" w:lineRule="auto"/>
        <w:ind w:left="3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У який спосіб забезпечується комунікація та інформування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мешканців щодо соціальних послуг, які надаються Вашим підрозділом/установою/закладом?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соц.сторінку у фейсбук, офіційну сторінку громади.</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сайт громади та сторінку у фейсбук та сторінку СуСД в соц.мережі фейсбук. </w:t>
      </w:r>
    </w:p>
    <w:p w:rsidR="00000000" w:rsidDel="00000000" w:rsidP="00000000" w:rsidRDefault="00000000" w:rsidRPr="00000000" w14:paraId="0000009E">
      <w:pPr>
        <w:spacing w:line="259"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14.1 </w:t>
      </w:r>
      <w:r w:rsidDel="00000000" w:rsidR="00000000" w:rsidRPr="00000000">
        <w:rPr>
          <w:rFonts w:ascii="Roboto" w:cs="Roboto" w:eastAsia="Roboto" w:hAnsi="Roboto"/>
          <w:b w:val="1"/>
          <w:sz w:val="24"/>
          <w:szCs w:val="24"/>
          <w:highlight w:val="white"/>
          <w:rtl w:val="0"/>
        </w:rPr>
        <w:t xml:space="preserve">Ч</w:t>
      </w:r>
      <w:r w:rsidDel="00000000" w:rsidR="00000000" w:rsidRPr="00000000">
        <w:rPr>
          <w:rFonts w:ascii="Times New Roman" w:cs="Times New Roman" w:eastAsia="Times New Roman" w:hAnsi="Times New Roman"/>
          <w:b w:val="1"/>
          <w:sz w:val="24"/>
          <w:szCs w:val="24"/>
          <w:highlight w:val="white"/>
          <w:rtl w:val="0"/>
        </w:rPr>
        <w:t xml:space="preserve">и під час комунікації та інформування щодо соціальних послуг в громаді  враховані  інклюзивність та відповідність особливим потребам  мешканців та мешканок громади?</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15.Чи у вашій громаді є затверджений порядок отримання та реагування на можливі запити/пропозиції/скарги від отримувачів послуг?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відповідь обведіть колом)</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Так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15.1. Чи Ви вважаєте цей механізм достатньо дієвим і таким, що забезпечує покращення якості та доступності послуг, які:</w:t>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надаються в громаді загалом?</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надаються безпосередньо у Вашій установі/організації/закладі?</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15.2. Як Ви інформуєте скаржника/заявника про результати розгляду його звернення?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Письмово або усно</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Чи є в громаді затверджений порядок, регламент щодо проведення публічних консультацій з мешканцями та мешканками громади, експертами та іншими зацікавленими особами, представниками громадянського суспільства?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знаю</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16.1. Чи організовують органи місцевого самоврядування публічні консультації щодо проектів цільових програм, стратегій розвитку громади із мешканцями та мешканками громади, громадськими об’єднаннями, експертами, іншими зацікавленими особами та представниками громадянського суспільства?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 Чи проводиться в громаді планування щодо розвитку послуг для дітей і сімей з дітьми?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17.1. Чи проводиться це планування за участі представників освіти, медицини, соціального захисту, надавачів послуг, депутатів профільних комісій, представників бізнесу та недержавних організацій (громадські, благодійні, релігійні організацій), представників батьківських спільнот дітей з інвалідністю?  </w:t>
      </w:r>
      <w:r w:rsidDel="00000000" w:rsidR="00000000" w:rsidRPr="00000000">
        <w:rPr>
          <w:rFonts w:ascii="Times New Roman" w:cs="Times New Roman" w:eastAsia="Times New Roman" w:hAnsi="Times New Roman"/>
          <w:i w:val="1"/>
          <w:sz w:val="24"/>
          <w:szCs w:val="24"/>
          <w:rtl w:val="0"/>
        </w:rPr>
        <w:t xml:space="preserve">(відповідь обведіть колом)</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59"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Так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17.2. На який період здійснюється спільне планування послуг для дітей і сімей з дітьми органом місцевого самоврядування громади? </w:t>
      </w:r>
      <w:r w:rsidDel="00000000" w:rsidR="00000000" w:rsidRPr="00000000">
        <w:rPr>
          <w:rFonts w:ascii="Times New Roman" w:cs="Times New Roman" w:eastAsia="Times New Roman" w:hAnsi="Times New Roman"/>
          <w:i w:val="1"/>
          <w:sz w:val="24"/>
          <w:szCs w:val="24"/>
          <w:rtl w:val="0"/>
        </w:rPr>
        <w:t xml:space="preserve">(відповідь обведіть колом)</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Календарний рік</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Чи є в громаді проблеми з кадровим забезпеченням у соціальній сфері?</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18.1 Які заходи та механізми розвитку кадрової спроможності Ви можете запропонувати для розвитку послуг для дітей та сімей з дітьми в громаді? З чого в першу чергу варто почати?</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першу чергу необхідно провести соціологічний аналіз сімей з дітьми, визначити ті вразливі категорії, які першочергово потребують допомоги. </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19.Як Ви вважаєте, чи є ефективною діяльність надавачів соціальних послуг комунального сектору?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20.Як Ви вважаєте, чи є довіра до надавачів соціальних послуг комунального сектору?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Майже всі послуги для дітей і сімей локалізовані у адміністративному центрі громади. Як Ви вважаєте, чи зручним (доступними) є отримання послуг для сімей з дітьми із сіл?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зручним</w:t>
      </w:r>
    </w:p>
    <w:p w:rsidR="00000000" w:rsidDel="00000000" w:rsidP="00000000" w:rsidRDefault="00000000" w:rsidRPr="00000000" w14:paraId="000000C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Чи потрібно, на Вашу думку, організувати нові послуги для сімей і дітей?</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 </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22.1.Які саме нові послуги для дітей та сімей з дітьми в першу чергу варто організувати? Вкажіть відповідно до видів</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Соціальні :</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мобільної бригади</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відділу соціального захисту</w:t>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Реабілітаційні: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громаді не має реабілітаційних послуг</w:t>
      </w:r>
    </w:p>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Освітні: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відділу освіти</w:t>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Медичні:</w:t>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реабілітаційних центрів</w:t>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Культурні та дозвіллєві</w:t>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сучасних осередків для відпочинку молоді. </w:t>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Окресліть три найбільші проблеми щодо забезпечення якісних і доступних послуг для дітей і сімей у Вашій громаді?</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Наявність тільки одного працівника СуСД \ Відсутність відділу соціального захисту.</w:t>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Відсутність патронатного вихователя \ Відсутність мобільної бригади.</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Відсутність відділу освіти.</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Які Ви можете дати рекомендації та/або пропозиції щодо шляхів уникнення чи подолання  зазначених проблем?</w:t>
      </w:r>
      <w:r w:rsidDel="00000000" w:rsidR="00000000" w:rsidRPr="00000000">
        <w:rPr>
          <w:rtl w:val="0"/>
        </w:rPr>
      </w:r>
    </w:p>
    <w:p w:rsidR="00000000" w:rsidDel="00000000" w:rsidP="00000000" w:rsidRDefault="00000000" w:rsidRPr="00000000" w14:paraId="000000D9">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Сформувати відповідні структури, забезпечити їх відповідною кількістю кадрів.</w:t>
      </w:r>
    </w:p>
    <w:p w:rsidR="00000000" w:rsidDel="00000000" w:rsidP="00000000" w:rsidRDefault="00000000" w:rsidRPr="00000000" w14:paraId="000000DA">
      <w:pPr>
        <w:ind w:left="360" w:firstLine="0"/>
        <w:rPr>
          <w:b w:val="1"/>
        </w:rPr>
      </w:pPr>
      <w:r w:rsidDel="00000000" w:rsidR="00000000" w:rsidRPr="00000000">
        <w:rPr>
          <w:rFonts w:ascii="Times New Roman" w:cs="Times New Roman" w:eastAsia="Times New Roman" w:hAnsi="Times New Roman"/>
          <w:sz w:val="24"/>
          <w:szCs w:val="24"/>
          <w:rtl w:val="0"/>
        </w:rPr>
        <w:t xml:space="preserve">Проводити більш обширні рекламні кампанії, щодо патронатного виховання.</w:t>
      </w:r>
      <w:r w:rsidDel="00000000" w:rsidR="00000000" w:rsidRPr="00000000">
        <w:rPr>
          <w:rtl w:val="0"/>
        </w:rPr>
      </w:r>
    </w:p>
    <w:p w:rsidR="00000000" w:rsidDel="00000000" w:rsidP="00000000" w:rsidRDefault="00000000" w:rsidRPr="00000000" w14:paraId="000000DB">
      <w:pPr>
        <w:ind w:left="720" w:firstLine="0"/>
        <w:rPr>
          <w:b w:val="1"/>
        </w:rPr>
      </w:pPr>
      <w:r w:rsidDel="00000000" w:rsidR="00000000" w:rsidRPr="00000000">
        <w:rPr>
          <w:rtl w:val="0"/>
        </w:rPr>
      </w:r>
    </w:p>
    <w:p w:rsidR="00000000" w:rsidDel="00000000" w:rsidP="00000000" w:rsidRDefault="00000000" w:rsidRPr="00000000" w14:paraId="000000DC">
      <w:pPr>
        <w:numPr>
          <w:ilvl w:val="0"/>
          <w:numId w:val="2"/>
        </w:numPr>
        <w:ind w:left="720" w:hanging="360"/>
        <w:rPr>
          <w:b w:val="1"/>
        </w:rPr>
      </w:pPr>
      <w:r w:rsidDel="00000000" w:rsidR="00000000" w:rsidRPr="00000000">
        <w:rPr>
          <w:b w:val="1"/>
          <w:rtl w:val="0"/>
        </w:rPr>
        <w:t xml:space="preserve">Висновки та рекомендації: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Гніздичівській громаді створена Стратегія розвитку ОТГ, управлінці ознайомлені з нею та брали участь у її розробці. На їхню думку в реалізіції Стратегії немає труднощів, вони готові інюціювати зміни до неї якщо виникне така потреба.виконання цільових програм розвитку громади управлінці оцінюють як добре та дуже добре, вони впевнені що цільові програми добре забеспечені таштами та кадрами, проте дадають що варто б було додати розвиток сімейних форм виховання та створення послуги патронату.</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Управлінці вказали, що в громаді затверджені механізми захисту прав дітей, створено камісі з прав захисту дітей, у громаді добре налагоджена міжвідомча взаємодія.</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виявлення дітей та сімей в СЖО повідомляють «Гніздичівський ЦСО»  та СуСД, за потреби скликається комісія з прав захисту дітей.</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 місцевого самоврядування організовують публічні консультації щодо проектів цільових програм, стратегій розвитку громади.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послуг для дітей і сімей здійснюється разом з представниками освіти, медицини, депутатів терміном на один календарний рік.</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Управлінці зазначили, що найбільші проблеми щодо забезпечення якісних і      доступниз послуг для дітей і сімей є : відсутність мобільної бригади, відділу соціального захисту, наявність тільки одного працівника СуСД, відсутність патронатного вихователя та відділу освіти. Рекомендації як вирішити проблеми управлінці вказують, що вирішити їх можна сформувавши відповідні структури.</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left="720" w:firstLine="0"/>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FE320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jg5Zi2MnKYuiEZn1u0CyI0Lg==">AMUW2mXKgd3Wy6sSSdM79StvPAC9WidxTgG8/gBpb911HGMVTxj81g9z15mn0A0KOpXZRTfc6qLpSkzWD83LAdk0xaeXlF1Zr+GDkUvo4ucuAFs8aYOSUqY=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2020-10-20T14:13:00Z</dcterms:created>
</cp:coreProperties>
</file>